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3                             </w:t>
      </w:r>
      <w:r>
        <w:rPr>
          <w:rFonts w:ascii="Arial" w:hAnsi="Arial" w:eastAsia="宋体" w:cs="Arial"/>
          <w:b/>
          <w:sz w:val="24"/>
          <w:szCs w:val="24"/>
          <w:lang w:eastAsia="zh-CN"/>
        </w:rPr>
        <w:t>R4-24</w:t>
      </w:r>
      <w:r>
        <w:rPr>
          <w:rFonts w:hint="eastAsia" w:eastAsia="宋体" w:cs="Arial"/>
          <w:b/>
          <w:sz w:val="24"/>
          <w:szCs w:val="24"/>
          <w:lang w:val="en-US" w:eastAsia="zh-CN"/>
        </w:rPr>
        <w:t>18481</w:t>
      </w:r>
      <w:bookmarkStart w:id="4" w:name="_GoBack"/>
      <w:bookmarkEnd w:id="4"/>
      <w:r>
        <w:rPr>
          <w:rFonts w:hint="eastAsia" w:eastAsia="宋体" w:cs="Arial"/>
          <w:b/>
          <w:sz w:val="24"/>
          <w:szCs w:val="24"/>
          <w:lang w:val="en-US" w:eastAsia="zh-CN"/>
        </w:rPr>
        <w:t xml:space="preserve">                                </w:t>
      </w:r>
    </w:p>
    <w:p>
      <w:pPr>
        <w:pStyle w:val="27"/>
        <w:tabs>
          <w:tab w:val="right" w:pos="9781"/>
          <w:tab w:val="right" w:pos="13323"/>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Orlando</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USA</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22</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November</w:t>
      </w:r>
      <w:r>
        <w:rPr>
          <w:rFonts w:ascii="Arial" w:hAnsi="Arial" w:eastAsia="宋体" w:cs="Arial"/>
          <w:b/>
          <w:sz w:val="24"/>
          <w:szCs w:val="24"/>
          <w:lang w:eastAsia="zh-CN"/>
        </w:rPr>
        <w: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regenerative NTN enhancement and downlink coverage enhancement</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7.26.4.2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6"/>
        <w:rPr>
          <w:lang w:val="en-US"/>
        </w:rPr>
      </w:pPr>
      <w:r>
        <w:rPr>
          <w:lang w:val="en-US"/>
        </w:rPr>
        <w:t>Intro</w:t>
      </w:r>
      <w:r>
        <w:rPr>
          <w:rStyle w:val="77"/>
          <w:lang w:val="en-US"/>
        </w:rPr>
        <w:t>ductio</w:t>
      </w:r>
      <w:r>
        <w:rPr>
          <w:lang w:val="en-US"/>
        </w:rPr>
        <w:t>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sz w:val="20"/>
          <w:szCs w:val="20"/>
          <w:lang w:val="en-US" w:eastAsia="zh-CN"/>
        </w:rPr>
      </w:pPr>
      <w:r>
        <w:rPr>
          <w:rFonts w:hint="eastAsia" w:eastAsia="宋体" w:cs="Times New Roman"/>
          <w:sz w:val="20"/>
          <w:szCs w:val="20"/>
          <w:lang w:val="en-US" w:eastAsia="zh-CN"/>
        </w:rPr>
        <w:t>At RAN 104# meeting, the revised WID on NR NTN phase 3 [1] has been approved, and several objectives in the WID have RAN4 RRM involvement. As this is the first meeting for RAN4 RRM to work on this WI, we will provide our initial views on potential impacts on RRM requirements.</w:t>
      </w:r>
    </w:p>
    <w:p>
      <w:pPr>
        <w:pStyle w:val="76"/>
        <w:rPr>
          <w:lang w:val="en-US"/>
        </w:rPr>
      </w:pPr>
      <w:r>
        <w:rPr>
          <w:lang w:val="en-US"/>
        </w:rPr>
        <w:t>Discussion</w:t>
      </w:r>
    </w:p>
    <w:p>
      <w:pPr>
        <w:rPr>
          <w:sz w:val="22"/>
          <w:szCs w:val="22"/>
          <w:lang w:val="en-US" w:eastAsia="zh-CN"/>
        </w:rPr>
      </w:pPr>
      <w:r>
        <w:rPr>
          <w:rFonts w:hint="eastAsia" w:eastAsia="宋体" w:cs="Times New Roman"/>
          <w:sz w:val="22"/>
          <w:lang w:val="en-US" w:eastAsia="zh-CN"/>
        </w:rPr>
        <w:t xml:space="preserve">The objectives of Rel-19 NTN phase 3 enhancement are described in [1] including: </w:t>
      </w:r>
      <w:r>
        <w:rPr>
          <w:rFonts w:hint="eastAsia"/>
          <w:sz w:val="22"/>
          <w:szCs w:val="22"/>
          <w:lang w:val="en-US" w:eastAsia="zh-CN"/>
        </w:rPr>
        <w:t xml:space="preserve">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78"/>
              <w:widowControl/>
              <w:suppressLineNumbers w:val="0"/>
              <w:bidi w:val="0"/>
              <w:spacing w:beforeAutospacing="0" w:afterAutospacing="0"/>
              <w:ind w:left="792" w:leftChars="0" w:right="0" w:hanging="432" w:firstLineChars="0"/>
              <w:rPr>
                <w:rFonts w:hint="eastAsia" w:ascii="Times New Roman" w:hAnsi="Times New Roman" w:eastAsia="宋体" w:cs="Times New Roman"/>
                <w:sz w:val="22"/>
                <w:szCs w:val="20"/>
                <w:lang w:val="en-US" w:eastAsia="zh-CN" w:bidi="ar-SA"/>
              </w:rPr>
            </w:pPr>
            <w:r>
              <w:rPr>
                <w:rFonts w:hint="eastAsia" w:ascii="Times New Roman" w:hAnsi="Times New Roman" w:eastAsia="宋体" w:cs="Times New Roman"/>
                <w:sz w:val="22"/>
                <w:szCs w:val="20"/>
                <w:lang w:val="en-US" w:eastAsia="zh-CN" w:bidi="ar-SA"/>
              </w:rPr>
              <w:tab/>
            </w:r>
            <w:r>
              <w:rPr>
                <w:rFonts w:hint="eastAsia" w:ascii="Times New Roman" w:hAnsi="Times New Roman" w:eastAsia="宋体" w:cs="Times New Roman"/>
                <w:sz w:val="22"/>
                <w:szCs w:val="20"/>
                <w:lang w:val="en-US" w:eastAsia="zh-CN" w:bidi="ar-SA"/>
              </w:rPr>
              <w:t>Downlink coverage enhancement</w:t>
            </w:r>
          </w:p>
          <w:p>
            <w:pPr>
              <w:pStyle w:val="78"/>
              <w:widowControl/>
              <w:numPr>
                <w:ilvl w:val="1"/>
                <w:numId w:val="0"/>
              </w:numPr>
              <w:suppressLineNumbers w:val="0"/>
              <w:bidi w:val="0"/>
              <w:spacing w:beforeAutospacing="0" w:afterAutospacing="0"/>
              <w:ind w:left="360" w:leftChars="0" w:right="0"/>
              <w:rPr>
                <w:rFonts w:hint="default"/>
                <w:sz w:val="22"/>
                <w:szCs w:val="22"/>
                <w:lang w:val="en-US" w:eastAsia="zh-CN"/>
              </w:rPr>
            </w:pPr>
            <w:r>
              <w:rPr>
                <w:rFonts w:hint="default" w:ascii="Times New Roman" w:hAnsi="Times New Roman" w:cs="Times New Roman"/>
                <w:sz w:val="22"/>
                <w:szCs w:val="22"/>
                <w:lang w:val="en-US" w:eastAsia="zh-CN"/>
              </w:rPr>
              <w:t>2.2</w:t>
            </w:r>
            <w:r>
              <w:rPr>
                <w:rFonts w:hint="eastAsia" w:ascii="Times New Roman" w:hAnsi="Times New Roman" w:cs="Times New Roman"/>
                <w:sz w:val="22"/>
                <w:szCs w:val="22"/>
                <w:lang w:val="en-US" w:eastAsia="zh-CN"/>
              </w:rPr>
              <w:t xml:space="preserve">    </w:t>
            </w:r>
            <w:r>
              <w:rPr>
                <w:rFonts w:hint="eastAsia" w:ascii="Times New Roman" w:hAnsi="Times New Roman" w:eastAsia="宋体" w:cs="Times New Roman"/>
                <w:sz w:val="22"/>
                <w:szCs w:val="20"/>
                <w:lang w:val="en-US" w:eastAsia="zh-CN" w:bidi="ar-SA"/>
              </w:rPr>
              <w:t>Support of Regenerative payload</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In this meeting, we will discuss the scenarios and express our views on potential impact to RRM requirements towards the above objectives. The objectives are divided into several aspects:</w:t>
      </w:r>
    </w:p>
    <w:p>
      <w:pPr>
        <w:pStyle w:val="78"/>
        <w:numPr>
          <w:ilvl w:val="1"/>
          <w:numId w:val="0"/>
        </w:numPr>
        <w:rPr>
          <w:rFonts w:hint="default"/>
          <w:lang w:val="en-US" w:eastAsia="zh-CN"/>
        </w:rPr>
      </w:pPr>
      <w:r>
        <w:rPr>
          <w:rFonts w:hint="eastAsia"/>
          <w:lang w:eastAsia="zh-CN"/>
        </w:rPr>
        <w:t>2.</w:t>
      </w:r>
      <w:r>
        <w:rPr>
          <w:rFonts w:hint="eastAsia"/>
          <w:lang w:val="en-US" w:eastAsia="zh-CN"/>
        </w:rPr>
        <w:t>1 Downlink coverage enhancement</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sz w:val="20"/>
          <w:szCs w:val="20"/>
          <w:lang w:val="en-US" w:eastAsia="zh-CN"/>
        </w:rPr>
      </w:pPr>
      <w:r>
        <w:rPr>
          <w:rFonts w:hint="eastAsia" w:eastAsia="宋体" w:cs="Times New Roman"/>
          <w:sz w:val="20"/>
          <w:szCs w:val="20"/>
          <w:lang w:val="en-US" w:eastAsia="zh-CN"/>
        </w:rPr>
        <w:t>RAN4 shall define the RRM requirements for downlink coverage enhancement based on the latest revised WID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widowControl/>
              <w:numPr>
                <w:ilvl w:val="0"/>
                <w:numId w:val="3"/>
              </w:numPr>
              <w:suppressLineNumbers w:val="0"/>
              <w:spacing w:before="0" w:beforeAutospacing="0" w:after="0" w:afterAutospacing="0" w:line="276" w:lineRule="auto"/>
              <w:ind w:right="0"/>
              <w:rPr>
                <w:rFonts w:hint="eastAsia" w:eastAsia="Calibri"/>
                <w:sz w:val="20"/>
                <w:szCs w:val="20"/>
                <w:lang w:eastAsia="ko-KR"/>
              </w:rPr>
            </w:pPr>
            <w:r>
              <w:rPr>
                <w:rFonts w:hint="eastAsia" w:eastAsia="Calibri"/>
                <w:sz w:val="20"/>
                <w:szCs w:val="20"/>
                <w:lang w:eastAsia="ko-KR"/>
              </w:rPr>
              <w:t>Study and specify if beneficial downlink coverage enhancements targeting support for additional reference satellite payload parameters covering both GSO and NGSO constellations operating in FR1-NTN or FR2-NTN [RAN1, RAN2, RAN4]</w:t>
            </w:r>
          </w:p>
          <w:p>
            <w:pPr>
              <w:pStyle w:val="72"/>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72"/>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72"/>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 xml:space="preserve">Study and if needed specify solutions, including link level enhancements for FR1-NTN (e.g. for PDCCH, PDSCH) and/or system level enhancements for FR1-NTN and/or FR2-NTN, </w:t>
            </w:r>
            <w:r>
              <w:rPr>
                <w:rFonts w:hint="eastAsia"/>
                <w:b/>
                <w:bCs/>
                <w:sz w:val="20"/>
                <w:szCs w:val="20"/>
                <w:highlight w:val="yellow"/>
              </w:rPr>
              <w:t>allowing dynamic and flexible power sharing between satellite beams or different satellite beam patterns/size (i.e. wide or narrow) across the satellite footprint.</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to report at the latest by RAN#106 with the list of targeted physical channels/signals for link level enhancements (if any), and with the targeted system-level enhancements (if any)</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should report on impact to backward compatibility, if any, for potential extension of the SSB periodicity at the latest by RAN#106, in conjunction with the targeted system-level enhancements.</w:t>
            </w:r>
          </w:p>
          <w:p>
            <w:pPr>
              <w:pStyle w:val="72"/>
              <w:keepNext w:val="0"/>
              <w:keepLines w:val="0"/>
              <w:widowControl/>
              <w:numPr>
                <w:ilvl w:val="0"/>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Notes for this objective:</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b/>
                <w:bCs/>
                <w:sz w:val="20"/>
                <w:szCs w:val="20"/>
                <w:highlight w:val="yellow"/>
              </w:rPr>
            </w:pPr>
            <w:r>
              <w:rPr>
                <w:rFonts w:hint="eastAsia"/>
                <w:b/>
                <w:bCs/>
                <w:sz w:val="20"/>
                <w:szCs w:val="20"/>
                <w:highlight w:val="yellow"/>
              </w:rPr>
              <w:t>SSB channel enhancement other than SSB periodicity extension is not considered</w:t>
            </w:r>
          </w:p>
          <w:p>
            <w:pPr>
              <w:pStyle w:val="72"/>
              <w:keepNext w:val="0"/>
              <w:keepLines w:val="0"/>
              <w:widowControl/>
              <w:numPr>
                <w:ilvl w:val="2"/>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RAN1 should consider issues such as UE’s cell search complexity and impact to initial cell selection, latency and success rate, for the above extension</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highlight w:val="yellow"/>
              </w:rPr>
            </w:pPr>
            <w:r>
              <w:rPr>
                <w:rFonts w:hint="eastAsia"/>
                <w:sz w:val="20"/>
                <w:szCs w:val="20"/>
                <w:highlight w:val="yellow"/>
              </w:rPr>
              <w:t xml:space="preserve">The SSB periodicity enhancements potentially defined in this WID </w:t>
            </w:r>
            <w:r>
              <w:rPr>
                <w:rFonts w:hint="eastAsia"/>
                <w:b/>
                <w:bCs/>
                <w:sz w:val="20"/>
                <w:szCs w:val="20"/>
                <w:highlight w:val="yellow"/>
              </w:rPr>
              <w:t>only apply to NTN operation</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Antenna gain of UE shall be assumed to be -5.5dBi in case of smartphone in FR1-NTN, the UE is assumed to be a full duplex UE, and at least 2Rx are considered at the UE</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20"/>
                <w:szCs w:val="20"/>
              </w:rPr>
            </w:pPr>
            <w:r>
              <w:rPr>
                <w:rFonts w:hint="eastAsia"/>
                <w:sz w:val="20"/>
                <w:szCs w:val="20"/>
              </w:rPr>
              <w:t>NGSO to be considered in priority: LEO Set-1 @ 600 km</w:t>
            </w:r>
          </w:p>
          <w:p>
            <w:pPr>
              <w:pStyle w:val="72"/>
              <w:keepNext w:val="0"/>
              <w:keepLines w:val="0"/>
              <w:widowControl/>
              <w:numPr>
                <w:ilvl w:val="1"/>
                <w:numId w:val="4"/>
              </w:numPr>
              <w:suppressLineNumbers w:val="0"/>
              <w:overflowPunct/>
              <w:autoSpaceDE/>
              <w:autoSpaceDN/>
              <w:adjustRightInd/>
              <w:spacing w:before="0" w:beforeAutospacing="0" w:after="0" w:afterAutospacing="0" w:line="276" w:lineRule="auto"/>
              <w:ind w:right="0" w:firstLineChars="0"/>
              <w:contextualSpacing/>
              <w:jc w:val="both"/>
              <w:textAlignment w:val="auto"/>
              <w:rPr>
                <w:rFonts w:hint="eastAsia"/>
                <w:sz w:val="16"/>
                <w:szCs w:val="16"/>
              </w:rPr>
            </w:pPr>
            <w:r>
              <w:rPr>
                <w:rFonts w:hint="eastAsia"/>
                <w:sz w:val="20"/>
                <w:szCs w:val="20"/>
              </w:rPr>
              <w:t>Rel-18 network energy saving techniques should be considered as baseline in the system level study</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For this objective, RAN1/RAN2 have discussed several meetings and the goal is to increase the downlink coverage to serve the multiple satellite footprint. RAN1 introduced the beam hopping since the limitation of power budget, the number of RF chains available at the satellite payload  and the number of active beams can not be increased. Thus, we deem that if the downlink coverage is needed to enhance, the beam hopping shall be considered. Based on the latest WID, the SSB periodicity shall be extended and this extension will cause the RAN4 impact. In this section we will analyze the basic scenario of beam hopping and then the potential RAN4 impact with the RAN1/RAN2</w:t>
      </w:r>
      <w:r>
        <w:rPr>
          <w:rFonts w:hint="default" w:eastAsia="宋体" w:cs="Times New Roman"/>
          <w:sz w:val="20"/>
          <w:szCs w:val="20"/>
          <w:lang w:val="en-US" w:eastAsia="zh-CN"/>
        </w:rPr>
        <w:t>’</w:t>
      </w:r>
      <w:r>
        <w:rPr>
          <w:rFonts w:hint="eastAsia" w:eastAsia="宋体" w:cs="Times New Roman"/>
          <w:sz w:val="20"/>
          <w:szCs w:val="20"/>
          <w:lang w:val="en-US" w:eastAsia="zh-CN"/>
        </w:rPr>
        <w:t xml:space="preserve">s conclusion.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default" w:eastAsia="宋体" w:cs="Times New Roman"/>
          <w:sz w:val="20"/>
          <w:szCs w:val="20"/>
          <w:lang w:val="en-US" w:eastAsia="zh-CN"/>
        </w:rPr>
        <w:t>Beam hopping employs TDM approach to serve multiple beam footprints with a single beam, thereby enhancing the coverage area. This technique enables rapid switching of the satellite beam among different geographical regions, effectively boosting the coverage expanse and spectrum utilization efficiency without necessitating additional hardware infrastructure.</w:t>
      </w:r>
      <w:r>
        <w:rPr>
          <w:rFonts w:hint="eastAsia" w:eastAsia="宋体" w:cs="Times New Roman"/>
          <w:sz w:val="20"/>
          <w:szCs w:val="20"/>
          <w:lang w:val="en-US" w:eastAsia="zh-CN"/>
        </w:rPr>
        <w:t xml:space="preserve"> The beam hopping can be seen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3673475" cy="1939290"/>
            <wp:effectExtent l="0" t="0" r="14605" b="1143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3673475" cy="1939290"/>
                    </a:xfrm>
                    <a:prstGeom prst="rect">
                      <a:avLst/>
                    </a:prstGeom>
                    <a:noFill/>
                    <a:ln w="9525">
                      <a:noFill/>
                    </a:ln>
                  </pic:spPr>
                </pic:pic>
              </a:graphicData>
            </a:graphic>
          </wp:inline>
        </w:drawing>
      </w:r>
    </w:p>
    <w:p>
      <w:pPr>
        <w:overflowPunct w:val="0"/>
        <w:autoSpaceDE w:val="0"/>
        <w:autoSpaceDN w:val="0"/>
        <w:adjustRightInd w:val="0"/>
        <w:spacing w:before="120" w:after="120" w:line="360" w:lineRule="auto"/>
        <w:jc w:val="center"/>
        <w:textAlignment w:val="baseline"/>
        <w:rPr>
          <w:rFonts w:hint="eastAsia" w:eastAsia="宋体" w:cs="Times New Roman"/>
          <w:sz w:val="20"/>
          <w:szCs w:val="20"/>
          <w:lang w:val="en-US" w:eastAsia="zh-CN"/>
        </w:rPr>
      </w:pPr>
      <w:r>
        <w:rPr>
          <w:rFonts w:hint="eastAsia" w:eastAsia="宋体" w:cs="Times New Roman"/>
          <w:sz w:val="20"/>
          <w:szCs w:val="20"/>
          <w:lang w:val="en-US" w:eastAsia="zh-CN"/>
        </w:rPr>
        <w:t>Figure 1 Beam hopping</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 xml:space="preserve">Based on the above figure, we see that the satellite uses one beam to serve 3 beam footprints, and this single beam using the beam hopping employs the TDM method to cover these beam footprint in order to enhance downlink coverage.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 xml:space="preserve">In the latest WID, the SSB periodicity shall be extended. The reason for this enhancement is that a satellite only provides 16 beams simultaneously due to the limitation of power budget or number of RF chains. What we want to realize is that using these 16 beams to serve multiple beam footprints such as 1058 beam footprints. However, when one single beam serve one beam footprint, the integral information of SSB, SIB1, SIB19 etc shall be sent, and a dwell time is needed. Assuming the minimum dwell time is 5ms, the existing default SSB periodicity is 20ms, that is, that one beam only serves 20ms/dwell time 5 ms=4 beam footprints. For all 16 beams, the total serve coverage is 16*4=64 beam footprints which is far less than 1058 beam footprints. Thus, the SSB periodicity shall be extended in order to enhance the downlink coverage, but the concrete values for SSB periodicity depends on RAN1 and they are under discussion.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In the last meeting, RAN4 has the general agreement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outlineLvl w:val="2"/>
              <w:rPr>
                <w:rFonts w:hint="eastAsia"/>
                <w:b/>
                <w:sz w:val="20"/>
                <w:szCs w:val="20"/>
                <w:u w:val="single"/>
                <w:lang w:eastAsia="ko-KR"/>
              </w:rPr>
            </w:pPr>
            <w:r>
              <w:rPr>
                <w:rFonts w:hint="eastAsia"/>
                <w:b/>
                <w:sz w:val="20"/>
                <w:szCs w:val="20"/>
                <w:u w:val="single"/>
                <w:lang w:eastAsia="ko-KR"/>
              </w:rPr>
              <w:t>Issue 1-1: SSB periodicity enhancement</w:t>
            </w:r>
          </w:p>
          <w:p>
            <w:pPr>
              <w:keepNext w:val="0"/>
              <w:keepLines w:val="0"/>
              <w:widowControl/>
              <w:suppressLineNumbers w:val="0"/>
              <w:spacing w:before="0" w:beforeAutospacing="0" w:after="120" w:afterAutospacing="0" w:line="252" w:lineRule="auto"/>
              <w:ind w:left="0" w:right="0"/>
              <w:rPr>
                <w:rFonts w:hint="eastAsia" w:eastAsia="Malgun Gothic"/>
                <w:b/>
                <w:bCs/>
                <w:color w:val="0070C0"/>
                <w:sz w:val="20"/>
                <w:szCs w:val="20"/>
                <w:lang w:eastAsia="ko-KR"/>
              </w:rPr>
            </w:pPr>
            <w:r>
              <w:rPr>
                <w:rFonts w:hint="eastAsia" w:eastAsia="Malgun Gothic"/>
                <w:b/>
                <w:bCs/>
                <w:color w:val="0070C0"/>
                <w:sz w:val="20"/>
                <w:szCs w:val="20"/>
                <w:highlight w:val="green"/>
                <w:lang w:eastAsia="ko-KR"/>
              </w:rPr>
              <w:t>Agreement:</w:t>
            </w:r>
          </w:p>
          <w:p>
            <w:pPr>
              <w:pStyle w:val="72"/>
              <w:keepNext w:val="0"/>
              <w:keepLines w:val="0"/>
              <w:widowControl/>
              <w:numPr>
                <w:ilvl w:val="0"/>
                <w:numId w:val="5"/>
              </w:numPr>
              <w:suppressLineNumbers w:val="0"/>
              <w:spacing w:before="0" w:beforeAutospacing="0" w:afterAutospacing="0"/>
              <w:ind w:left="360" w:right="0" w:firstLineChars="0"/>
              <w:rPr>
                <w:rFonts w:hint="eastAsia"/>
                <w:lang w:eastAsia="ja-JP"/>
              </w:rPr>
            </w:pPr>
            <w:r>
              <w:rPr>
                <w:rFonts w:hint="eastAsia"/>
                <w:lang w:eastAsia="ja-JP"/>
              </w:rPr>
              <w:t>RAN4 to wait for RAN1’s definitive decision on the maximum periodicity of SSB and the range of SMTC before discussing whether and how to modify the relevant RRM requirements. FFS on the detailed list of RRM requirements to be affected, e.g.,</w:t>
            </w:r>
          </w:p>
          <w:p>
            <w:pPr>
              <w:pStyle w:val="72"/>
              <w:keepNext w:val="0"/>
              <w:keepLines w:val="0"/>
              <w:widowControl/>
              <w:numPr>
                <w:ilvl w:val="1"/>
                <w:numId w:val="5"/>
              </w:numPr>
              <w:suppressLineNumbers w:val="0"/>
              <w:spacing w:before="0" w:beforeAutospacing="0" w:afterAutospacing="0"/>
              <w:ind w:right="0" w:firstLineChars="0"/>
              <w:rPr>
                <w:rFonts w:hint="default" w:eastAsia="宋体" w:cs="Times New Roman"/>
                <w:sz w:val="20"/>
                <w:szCs w:val="20"/>
                <w:vertAlign w:val="baseline"/>
                <w:lang w:val="en-US" w:eastAsia="zh-CN"/>
              </w:rPr>
            </w:pPr>
            <w:r>
              <w:rPr>
                <w:rFonts w:hint="eastAsia"/>
                <w:lang w:eastAsia="ja-JP"/>
              </w:rPr>
              <w:t>uplink timing requirements, RRM requirements during transmission between different SSB periodicities, default assumption on the SSB and SMTC periodicities in handover/satellite switch with re-sync/RRC re-establishment/RRC connection release with redirection, cell identification, measurements, etc.</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In the last meeting, RAN1 has already reached the agreements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0" w:afterAutospacing="0"/>
              <w:ind w:left="0" w:right="0"/>
              <w:jc w:val="left"/>
              <w:rPr>
                <w:rFonts w:hint="default" w:ascii="Times New Roman" w:hAnsi="Times New Roman" w:cs="Times New Roman"/>
                <w:sz w:val="20"/>
                <w:szCs w:val="20"/>
                <w:lang w:val="en-US"/>
              </w:rPr>
            </w:pPr>
            <w:r>
              <w:rPr>
                <w:rFonts w:hint="default" w:ascii="Times New Roman" w:hAnsi="Times New Roman" w:eastAsia="Batang" w:cs="Times New Roman"/>
                <w:kern w:val="0"/>
                <w:sz w:val="20"/>
                <w:szCs w:val="20"/>
                <w:highlight w:val="green"/>
                <w:lang w:val="en-US" w:eastAsia="zh-CN" w:bidi="ar"/>
              </w:rPr>
              <w:t>Agreement</w:t>
            </w:r>
          </w:p>
          <w:p>
            <w:pPr>
              <w:keepNext w:val="0"/>
              <w:keepLines w:val="0"/>
              <w:widowControl/>
              <w:suppressLineNumbers w:val="0"/>
              <w:spacing w:before="0" w:beforeAutospacing="0" w:after="0" w:afterAutospacing="0"/>
              <w:ind w:left="0" w:right="0"/>
              <w:jc w:val="left"/>
              <w:rPr>
                <w:rFonts w:hint="default" w:ascii="Times New Roman" w:hAnsi="Times New Roman" w:cs="Times New Roman"/>
                <w:sz w:val="20"/>
                <w:szCs w:val="20"/>
                <w:lang w:val="en-US"/>
              </w:rPr>
            </w:pPr>
            <w:r>
              <w:rPr>
                <w:rFonts w:hint="default" w:ascii="Times New Roman" w:hAnsi="Times New Roman" w:eastAsia="Batang" w:cs="Times New Roman"/>
                <w:kern w:val="0"/>
                <w:sz w:val="20"/>
                <w:szCs w:val="20"/>
                <w:lang w:val="en-US" w:eastAsia="zh-CN" w:bidi="ar"/>
              </w:rPr>
              <w:t xml:space="preserve">For NR NTN, support extended periodicity of the half frames with SS/PBCH blocks assumed by UE during </w:t>
            </w:r>
            <w:r>
              <w:rPr>
                <w:rFonts w:hint="default" w:ascii="Times New Roman" w:hAnsi="Times New Roman" w:eastAsia="Batang" w:cs="Times New Roman"/>
                <w:kern w:val="0"/>
                <w:sz w:val="20"/>
                <w:szCs w:val="20"/>
                <w:highlight w:val="yellow"/>
                <w:lang w:val="en-US" w:eastAsia="zh-CN" w:bidi="ar"/>
              </w:rPr>
              <w:t>initial access</w:t>
            </w:r>
            <w:r>
              <w:rPr>
                <w:rFonts w:hint="default" w:ascii="Times New Roman" w:hAnsi="Times New Roman" w:eastAsia="Batang" w:cs="Times New Roman"/>
                <w:kern w:val="0"/>
                <w:sz w:val="20"/>
                <w:szCs w:val="20"/>
                <w:lang w:val="en-US" w:eastAsia="zh-CN" w:bidi="ar"/>
              </w:rPr>
              <w:t xml:space="preserve">. </w:t>
            </w:r>
          </w:p>
          <w:p>
            <w:pPr>
              <w:pStyle w:val="84"/>
              <w:widowControl/>
              <w:numPr>
                <w:ilvl w:val="0"/>
                <w:numId w:val="6"/>
              </w:numPr>
              <w:suppressAutoHyphens/>
              <w:spacing w:before="0" w:beforeAutospacing="0" w:after="0" w:afterAutospacing="0"/>
              <w:ind w:left="720" w:leftChars="0" w:right="0" w:hanging="360"/>
              <w:rPr>
                <w:rFonts w:hint="default" w:ascii="Times New Roman" w:hAnsi="Times New Roman" w:cs="Times New Roman"/>
                <w:szCs w:val="20"/>
                <w:lang w:val="en-US"/>
              </w:rPr>
            </w:pPr>
            <w:r>
              <w:rPr>
                <w:rFonts w:hint="default" w:ascii="Times New Roman" w:hAnsi="Times New Roman" w:cs="Times New Roman"/>
                <w:szCs w:val="20"/>
                <w:lang w:val="en-US"/>
              </w:rPr>
              <w:t>The maximum of the additional default value (apart from the existing 20ms value) is at least 160 ms.</w:t>
            </w:r>
          </w:p>
          <w:p>
            <w:pPr>
              <w:pStyle w:val="84"/>
              <w:widowControl/>
              <w:numPr>
                <w:ilvl w:val="1"/>
                <w:numId w:val="6"/>
              </w:numPr>
              <w:suppressAutoHyphens/>
              <w:spacing w:before="0" w:beforeAutospacing="0" w:after="0" w:afterAutospacing="0"/>
              <w:ind w:left="1440" w:leftChars="0" w:right="0" w:hanging="360"/>
              <w:rPr>
                <w:rFonts w:hint="default" w:eastAsia="宋体" w:cs="Times New Roman"/>
                <w:sz w:val="20"/>
                <w:szCs w:val="20"/>
                <w:vertAlign w:val="baseline"/>
                <w:lang w:val="en-US" w:eastAsia="zh-CN"/>
              </w:rPr>
            </w:pPr>
            <w:r>
              <w:rPr>
                <w:rFonts w:hint="default" w:ascii="Times New Roman" w:hAnsi="Times New Roman" w:cs="Times New Roman"/>
                <w:szCs w:val="20"/>
                <w:lang w:val="en-US"/>
              </w:rPr>
              <w:t>FFS: whether 320ms can be supported as the maximum of the additional default value instead of or in addition to 160ms</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sz w:val="20"/>
          <w:szCs w:val="20"/>
          <w:lang w:val="en-US" w:eastAsia="zh-CN"/>
        </w:rPr>
      </w:pPr>
      <w:r>
        <w:rPr>
          <w:rFonts w:hint="eastAsia" w:eastAsia="宋体" w:cs="Times New Roman"/>
          <w:sz w:val="20"/>
          <w:szCs w:val="20"/>
          <w:lang w:val="en-US" w:eastAsia="zh-CN"/>
        </w:rPr>
        <w:t>From my perspective, there are two kinds of SSB periodicity extension shall be clarified:</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 xml:space="preserve">(Default) SSB periodicity extension for cell search (initial UE access).  This will affect its initial access and connection establishment. </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120" w:after="120" w:line="240" w:lineRule="auto"/>
        <w:ind w:left="840" w:leftChars="0" w:hanging="420" w:firstLineChars="0"/>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If the SSB periodicity extension is larger than 20ms, when attempting to access the network, the UE may require additional time to accurately acquire essential System Information Blocks, paging messages, and signals on other physical channels. This could result in reduced efficiency of the connection establishment process and increased access latency.</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120" w:after="120" w:line="240" w:lineRule="auto"/>
        <w:ind w:left="840" w:leftChars="0" w:hanging="420" w:firstLineChars="0"/>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 xml:space="preserve"> If the SSB periodicity does not align with the transmission cycles of other signals, it may result in a misalignment of the reception window, thereby affecting the reception efficiency of the UE.</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before="120" w:after="120" w:line="240" w:lineRule="auto"/>
        <w:ind w:left="420" w:leftChars="0" w:hanging="420" w:firstLineChars="0"/>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(Configured) SSB periodicity extension for measurement configurations etc. Compared to cell search, the UE will be configured by network and the SMTC periodicity will also be impacted.</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120" w:after="120" w:line="240" w:lineRule="auto"/>
        <w:ind w:left="840" w:leftChars="0" w:hanging="420" w:firstLineChars="0"/>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 xml:space="preserve"> The network configures the SSB periodicity as 5ms, 10ms, 20ms, 40ms, 80ms, or 160ms. If the field is absent, UE assumes the periodicity of 5ms.</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120" w:after="120" w:line="240" w:lineRule="auto"/>
        <w:ind w:left="840" w:leftChars="0" w:hanging="420" w:firstLineChars="0"/>
        <w:jc w:val="both"/>
        <w:textAlignment w:val="baseline"/>
        <w:rPr>
          <w:rFonts w:hint="eastAsia" w:eastAsia="宋体" w:cs="Times New Roman"/>
          <w:sz w:val="20"/>
          <w:szCs w:val="20"/>
          <w:lang w:val="en-GB" w:eastAsia="ja-JP"/>
        </w:rPr>
      </w:pPr>
      <w:r>
        <w:rPr>
          <w:rFonts w:hint="eastAsia" w:eastAsia="宋体" w:cs="Times New Roman"/>
          <w:sz w:val="20"/>
          <w:szCs w:val="20"/>
          <w:lang w:val="en-US" w:eastAsia="zh-CN"/>
        </w:rPr>
        <w:t>The SMTC</w:t>
      </w:r>
      <w:r>
        <w:rPr>
          <w:rFonts w:hint="eastAsia" w:eastAsia="宋体" w:cs="Times New Roman"/>
          <w:sz w:val="20"/>
          <w:szCs w:val="20"/>
          <w:lang w:val="en-GB" w:eastAsia="ja-JP"/>
        </w:rPr>
        <w:t xml:space="preserve"> periodicity can be either 5ms, 10ms, 20ms, 40ms, 8ms, or 160ms.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sz w:val="20"/>
          <w:szCs w:val="20"/>
          <w:lang w:val="en-US" w:eastAsia="zh-CN"/>
        </w:rPr>
      </w:pPr>
      <w:r>
        <w:rPr>
          <w:rFonts w:hint="eastAsia" w:eastAsia="宋体" w:cs="Times New Roman"/>
          <w:sz w:val="20"/>
          <w:szCs w:val="20"/>
          <w:lang w:val="en-US" w:eastAsia="zh-CN"/>
        </w:rPr>
        <w:t>We find that the SSB periodicity for UE initial access can be extended at least 160ms form RAN1</w:t>
      </w:r>
      <w:r>
        <w:rPr>
          <w:rFonts w:hint="default" w:eastAsia="宋体" w:cs="Times New Roman"/>
          <w:sz w:val="20"/>
          <w:szCs w:val="20"/>
          <w:lang w:val="en-US" w:eastAsia="zh-CN"/>
        </w:rPr>
        <w:t>’</w:t>
      </w:r>
      <w:r>
        <w:rPr>
          <w:rFonts w:hint="eastAsia" w:eastAsia="宋体" w:cs="Times New Roman"/>
          <w:sz w:val="20"/>
          <w:szCs w:val="20"/>
          <w:lang w:val="en-US" w:eastAsia="zh-CN"/>
        </w:rPr>
        <w:t>s conclusion. From my perspective, there is no requirements on cell selection (initial access) in RAN4</w:t>
      </w:r>
      <w:r>
        <w:rPr>
          <w:rFonts w:hint="default" w:eastAsia="宋体" w:cs="Times New Roman"/>
          <w:sz w:val="20"/>
          <w:szCs w:val="20"/>
          <w:lang w:val="en-US" w:eastAsia="zh-CN"/>
        </w:rPr>
        <w:t>’</w:t>
      </w:r>
      <w:r>
        <w:rPr>
          <w:rFonts w:hint="eastAsia" w:eastAsia="宋体" w:cs="Times New Roman"/>
          <w:sz w:val="20"/>
          <w:szCs w:val="20"/>
          <w:lang w:val="en-US" w:eastAsia="zh-CN"/>
        </w:rPr>
        <w:t>s spec. Thus, there is no RRM impact if the default SSB periodicity is extended to at least 160ms.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sz w:val="20"/>
          <w:szCs w:val="20"/>
          <w:lang w:val="en-US" w:eastAsia="zh-CN"/>
        </w:rPr>
      </w:pPr>
      <w:r>
        <w:rPr>
          <w:rFonts w:hint="eastAsia" w:eastAsia="宋体" w:cs="Times New Roman"/>
          <w:sz w:val="20"/>
          <w:szCs w:val="20"/>
          <w:lang w:val="en-US" w:eastAsia="zh-CN"/>
        </w:rPr>
        <w:t>To my understanding, some RRM requirements will be impacted if the SSB periodicity is extended for configured SSB. Since the cell re-selection and L1/L3 measurements will be based on SSB signal. However, RAN1 and RAN2 are still discussing downlink coverage enhancement and the concrete values have not been decided yet. For example, for timing error requirementsin NTN, t</w:t>
      </w:r>
      <w:r>
        <w:rPr>
          <w:rFonts w:eastAsia="宋体" w:cs="v4.2.0"/>
        </w:rPr>
        <w:t>he UE shall meet the T</w:t>
      </w:r>
      <w:r>
        <w:rPr>
          <w:rFonts w:eastAsia="宋体" w:cs="v4.2.0"/>
          <w:vertAlign w:val="subscript"/>
        </w:rPr>
        <w:t>e_NTN</w:t>
      </w:r>
      <w:r>
        <w:rPr>
          <w:rFonts w:eastAsia="宋体" w:cs="v4.2.0"/>
        </w:rPr>
        <w:t xml:space="preserve"> requirement for an initial transmission provided that at least one SSB is available at the UE during the last </w:t>
      </w:r>
      <w:r>
        <w:rPr>
          <w:rFonts w:eastAsia="宋体" w:cs="v4.2.0"/>
          <w:highlight w:val="yellow"/>
        </w:rPr>
        <w:t>160 ms</w:t>
      </w:r>
      <w:r>
        <w:rPr>
          <w:rFonts w:eastAsia="宋体" w:cs="v4.2.0"/>
        </w:rPr>
        <w:t>.</w:t>
      </w:r>
      <w:r>
        <w:rPr>
          <w:rFonts w:cs="v4.2.0"/>
        </w:rPr>
        <w:t xml:space="preserve"> </w:t>
      </w:r>
      <w:r>
        <w:rPr>
          <w:rFonts w:hint="eastAsia" w:eastAsia="宋体" w:cs="v4.2.0"/>
          <w:lang w:val="en-US" w:eastAsia="zh-CN"/>
        </w:rPr>
        <w:t xml:space="preserve">If SSB periodicity is larger than 160ms, there may be no SSB occurred during the last 160ms and the timing requirements will be impacted.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Observation 1: The SSB periodicity shall be extended in order to enhance the downlink coverage and RAN1/RAN2 are under discussion.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Observation 2: Some RRM requirements will be impacted if the SSB periodicity is extended since the cell re-selection and L1/L3 measurements are based on SSB signal.</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Proposal 1: Some RRM requirements shall be updated if RAN1/RAN2 have the concrete conclusions on SSB periodicity extension.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2"/>
          <w:lang w:val="en-US" w:eastAsia="zh-CN"/>
        </w:rPr>
      </w:pPr>
      <w:r>
        <w:rPr>
          <w:rFonts w:hint="eastAsia" w:eastAsia="宋体" w:cs="Times New Roman"/>
          <w:b/>
          <w:bCs/>
          <w:sz w:val="22"/>
          <w:lang w:val="en-US" w:eastAsia="zh-CN"/>
        </w:rPr>
        <w:t xml:space="preserve">Proposal 2: Timing requirements shall be revisited if the SSB periodicity is extended.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In R18 NES work item, they introduced the cell specific DTX/DRX in order to reduce the power consumption. One key point is that the SSB transmission is not limited in active state or non-active state to guarantee the time and frequency sync and measurement. RAN4 may follow this behaviour in NTN. However, this aspect is still under discussion in other working groups and RAN4 shall wait for other WGs</w:t>
      </w:r>
      <w:r>
        <w:rPr>
          <w:rFonts w:hint="default" w:eastAsia="宋体" w:cs="Times New Roman"/>
          <w:sz w:val="20"/>
          <w:szCs w:val="20"/>
          <w:lang w:val="en-US" w:eastAsia="zh-CN"/>
        </w:rPr>
        <w:t>’</w:t>
      </w:r>
      <w:r>
        <w:rPr>
          <w:rFonts w:hint="eastAsia" w:eastAsia="宋体" w:cs="Times New Roman"/>
          <w:sz w:val="20"/>
          <w:szCs w:val="20"/>
          <w:lang w:val="en-US" w:eastAsia="zh-CN"/>
        </w:rPr>
        <w:t xml:space="preserve"> conclusion.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0"/>
          <w:szCs w:val="20"/>
          <w:lang w:val="en-US" w:eastAsia="zh-CN"/>
        </w:rPr>
      </w:pPr>
      <w:r>
        <w:rPr>
          <w:rFonts w:hint="eastAsia" w:eastAsia="宋体" w:cs="Times New Roman"/>
          <w:b/>
          <w:bCs/>
          <w:sz w:val="20"/>
          <w:szCs w:val="20"/>
          <w:lang w:val="en-US" w:eastAsia="zh-CN"/>
        </w:rPr>
        <w:t>Proposal 3: For cell specific DTX/DRX, RAN4 shall wait for other WGs</w:t>
      </w:r>
      <w:r>
        <w:rPr>
          <w:rFonts w:hint="default" w:eastAsia="宋体" w:cs="Times New Roman"/>
          <w:b/>
          <w:bCs/>
          <w:sz w:val="20"/>
          <w:szCs w:val="20"/>
          <w:lang w:val="en-US" w:eastAsia="zh-CN"/>
        </w:rPr>
        <w:t>’</w:t>
      </w:r>
      <w:r>
        <w:rPr>
          <w:rFonts w:hint="eastAsia" w:eastAsia="宋体" w:cs="Times New Roman"/>
          <w:b/>
          <w:bCs/>
          <w:sz w:val="20"/>
          <w:szCs w:val="20"/>
          <w:lang w:val="en-US" w:eastAsia="zh-CN"/>
        </w:rPr>
        <w:t xml:space="preserve"> conclusion.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In RAN1 previous meeting, one agreement can be seen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spacing w:before="0" w:beforeAutospacing="0" w:after="180" w:afterAutospacing="0"/>
              <w:ind w:left="0" w:right="0"/>
              <w:rPr>
                <w:rFonts w:hint="eastAsia" w:ascii="Times New Roman" w:hAnsi="Times New Roman" w:eastAsia="宋体" w:cs="Times New Roman"/>
                <w:kern w:val="0"/>
                <w:sz w:val="20"/>
                <w:szCs w:val="20"/>
                <w:lang w:eastAsia="zh-CN"/>
              </w:rPr>
            </w:pPr>
            <w:r>
              <w:rPr>
                <w:rFonts w:hint="eastAsia" w:ascii="Times New Roman" w:hAnsi="Times New Roman" w:eastAsia="宋体" w:cs="Times New Roman"/>
                <w:kern w:val="0"/>
                <w:sz w:val="20"/>
                <w:szCs w:val="20"/>
                <w:lang w:eastAsia="zh-CN"/>
              </w:rPr>
              <w:t>For system level study based on analytical evaluation:</w:t>
            </w:r>
          </w:p>
          <w:p>
            <w:pPr>
              <w:keepNext w:val="0"/>
              <w:keepLines w:val="0"/>
              <w:widowControl/>
              <w:numPr>
                <w:ilvl w:val="0"/>
                <w:numId w:val="9"/>
              </w:numPr>
              <w:suppressLineNumbers w:val="0"/>
              <w:spacing w:before="0" w:beforeAutospacing="0" w:after="180" w:afterAutospacing="0"/>
              <w:ind w:right="0"/>
              <w:jc w:val="left"/>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N1 beam footprints are in state “off”</w:t>
            </w:r>
          </w:p>
          <w:p>
            <w:pPr>
              <w:keepNext w:val="0"/>
              <w:keepLines w:val="0"/>
              <w:widowControl/>
              <w:numPr>
                <w:ilvl w:val="1"/>
                <w:numId w:val="9"/>
              </w:numPr>
              <w:suppressLineNumbers w:val="0"/>
              <w:spacing w:before="0" w:beforeAutospacing="0" w:after="180" w:afterAutospacing="0"/>
              <w:ind w:right="0"/>
              <w:jc w:val="left"/>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These beam footprints are not served by any signal (no satellite service in this area)</w:t>
            </w:r>
          </w:p>
          <w:p>
            <w:pPr>
              <w:keepNext w:val="0"/>
              <w:keepLines w:val="0"/>
              <w:widowControl/>
              <w:numPr>
                <w:ilvl w:val="0"/>
                <w:numId w:val="9"/>
              </w:numPr>
              <w:suppressLineNumbers w:val="0"/>
              <w:spacing w:before="0" w:beforeAutospacing="0" w:after="180" w:afterAutospacing="0"/>
              <w:ind w:right="0"/>
              <w:jc w:val="left"/>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N2 beam footprints are in state “common messages only”</w:t>
            </w:r>
          </w:p>
          <w:p>
            <w:pPr>
              <w:keepNext w:val="0"/>
              <w:keepLines w:val="0"/>
              <w:widowControl/>
              <w:numPr>
                <w:ilvl w:val="1"/>
                <w:numId w:val="9"/>
              </w:numPr>
              <w:suppressLineNumbers w:val="0"/>
              <w:spacing w:before="0" w:beforeAutospacing="0" w:after="180" w:afterAutospacing="0"/>
              <w:ind w:right="0"/>
              <w:jc w:val="left"/>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These beam footprints do not have any active user traffic, and are served the necessary information for cell discovery and initial access.</w:t>
            </w:r>
          </w:p>
          <w:p>
            <w:pPr>
              <w:keepNext w:val="0"/>
              <w:keepLines w:val="0"/>
              <w:widowControl/>
              <w:numPr>
                <w:ilvl w:val="1"/>
                <w:numId w:val="9"/>
              </w:numPr>
              <w:suppressLineNumbers w:val="0"/>
              <w:spacing w:before="0" w:beforeAutospacing="0" w:after="180" w:afterAutospacing="0"/>
              <w:ind w:right="0"/>
              <w:jc w:val="left"/>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Optionally, companies may consider user arrival (e.g. RACH access) in this type of cell, and should describe how this is taken into account in the analytical evaluation</w:t>
            </w:r>
          </w:p>
          <w:p>
            <w:pPr>
              <w:keepNext w:val="0"/>
              <w:keepLines w:val="0"/>
              <w:widowControl/>
              <w:numPr>
                <w:ilvl w:val="0"/>
                <w:numId w:val="9"/>
              </w:numPr>
              <w:suppressLineNumbers w:val="0"/>
              <w:spacing w:before="0" w:beforeAutospacing="0" w:after="180" w:afterAutospacing="0"/>
              <w:ind w:right="0"/>
              <w:jc w:val="left"/>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N3 beam footprints are in state “active traffic” </w:t>
            </w:r>
          </w:p>
          <w:p>
            <w:pPr>
              <w:keepNext w:val="0"/>
              <w:keepLines w:val="0"/>
              <w:widowControl/>
              <w:numPr>
                <w:ilvl w:val="1"/>
                <w:numId w:val="9"/>
              </w:numPr>
              <w:suppressLineNumbers w:val="0"/>
              <w:spacing w:before="0" w:beforeAutospacing="0" w:after="180" w:afterAutospacing="0"/>
              <w:ind w:right="0"/>
              <w:jc w:val="left"/>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These beam footprints have X active (e.g. VoNR) users each.</w:t>
            </w:r>
          </w:p>
          <w:p>
            <w:pPr>
              <w:keepNext w:val="0"/>
              <w:keepLines w:val="0"/>
              <w:widowControl/>
              <w:numPr>
                <w:ilvl w:val="1"/>
                <w:numId w:val="9"/>
              </w:numPr>
              <w:suppressLineNumbers w:val="0"/>
              <w:spacing w:before="0" w:beforeAutospacing="0" w:after="180" w:afterAutospacing="0"/>
              <w:ind w:right="0"/>
              <w:jc w:val="left"/>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These beam footprints are also served the necessary information for cell discovery and initial access</w:t>
            </w:r>
          </w:p>
          <w:p>
            <w:pPr>
              <w:keepNext w:val="0"/>
              <w:keepLines w:val="0"/>
              <w:widowControl/>
              <w:numPr>
                <w:ilvl w:val="0"/>
                <w:numId w:val="9"/>
              </w:numPr>
              <w:suppressLineNumbers w:val="0"/>
              <w:spacing w:before="0" w:beforeAutospacing="0" w:after="180" w:afterAutospacing="0"/>
              <w:ind w:right="0"/>
              <w:jc w:val="left"/>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N1 + N2 + N3 = “Total number of beam footprints “ </w:t>
            </w:r>
          </w:p>
          <w:p>
            <w:pPr>
              <w:keepNext w:val="0"/>
              <w:keepLines w:val="0"/>
              <w:widowControl/>
              <w:numPr>
                <w:ilvl w:val="0"/>
                <w:numId w:val="9"/>
              </w:numPr>
              <w:suppressLineNumbers w:val="0"/>
              <w:spacing w:before="0" w:beforeAutospacing="0" w:after="180" w:afterAutospacing="0"/>
              <w:ind w:right="0"/>
              <w:jc w:val="left"/>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N1, N2, N3, X are to be reported by companies.</w:t>
            </w:r>
          </w:p>
          <w:p>
            <w:pPr>
              <w:keepNext w:val="0"/>
              <w:keepLines w:val="0"/>
              <w:widowControl/>
              <w:numPr>
                <w:ilvl w:val="0"/>
                <w:numId w:val="9"/>
              </w:numPr>
              <w:suppressLineNumbers w:val="0"/>
              <w:spacing w:before="0" w:beforeAutospacing="0" w:after="180" w:afterAutospacing="0"/>
              <w:ind w:right="0"/>
              <w:jc w:val="left"/>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Resource utilization obtained under the assumptions above is to be reported by companies.</w:t>
            </w:r>
          </w:p>
          <w:p>
            <w:pPr>
              <w:keepNext w:val="0"/>
              <w:keepLines w:val="0"/>
              <w:widowControl/>
              <w:numPr>
                <w:ilvl w:val="0"/>
                <w:numId w:val="9"/>
              </w:numPr>
              <w:suppressLineNumbers w:val="0"/>
              <w:spacing w:before="0" w:beforeAutospacing="0" w:after="180" w:afterAutospacing="0"/>
              <w:ind w:right="0"/>
              <w:jc w:val="left"/>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Other assumptions made in the evaluation are to be reported by companies, e.g. power sharing scheme, beam hopping scheme, etc.</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We find that RAN1 has already defined the concrete meaning for total number of beam footprints and the following figure can explain this:</w:t>
      </w:r>
    </w:p>
    <w:p>
      <w:pPr>
        <w:overflowPunct w:val="0"/>
        <w:autoSpaceDE w:val="0"/>
        <w:autoSpaceDN w:val="0"/>
        <w:adjustRightInd w:val="0"/>
        <w:spacing w:before="120" w:after="120" w:line="360" w:lineRule="auto"/>
        <w:jc w:val="center"/>
        <w:textAlignment w:val="baseline"/>
      </w:pPr>
      <w:r>
        <w:drawing>
          <wp:inline distT="0" distB="0" distL="114300" distR="114300">
            <wp:extent cx="3449320" cy="1824355"/>
            <wp:effectExtent l="0" t="0" r="1016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3449320" cy="1824355"/>
                    </a:xfrm>
                    <a:prstGeom prst="rect">
                      <a:avLst/>
                    </a:prstGeom>
                    <a:noFill/>
                    <a:ln>
                      <a:noFill/>
                    </a:ln>
                  </pic:spPr>
                </pic:pic>
              </a:graphicData>
            </a:graphic>
          </wp:inline>
        </w:drawing>
      </w:r>
    </w:p>
    <w:p>
      <w:pPr>
        <w:overflowPunct w:val="0"/>
        <w:autoSpaceDE w:val="0"/>
        <w:autoSpaceDN w:val="0"/>
        <w:adjustRightInd w:val="0"/>
        <w:spacing w:before="120" w:after="120" w:line="360" w:lineRule="auto"/>
        <w:jc w:val="center"/>
        <w:textAlignment w:val="baseline"/>
        <w:rPr>
          <w:rFonts w:hint="eastAsia" w:eastAsia="宋体"/>
          <w:lang w:val="en-US" w:eastAsia="zh-CN"/>
        </w:rPr>
      </w:pPr>
      <w:r>
        <w:rPr>
          <w:rFonts w:hint="eastAsia" w:eastAsia="宋体"/>
          <w:lang w:val="en-US" w:eastAsia="zh-CN"/>
        </w:rPr>
        <w:t>Figure 2 Total beam footprints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 xml:space="preserve">We find that N1 beam footprints are in state </w:t>
      </w:r>
      <w:r>
        <w:rPr>
          <w:rFonts w:hint="default" w:eastAsia="宋体" w:cs="Times New Roman"/>
          <w:sz w:val="20"/>
          <w:szCs w:val="20"/>
          <w:lang w:val="en-US" w:eastAsia="zh-CN"/>
        </w:rPr>
        <w:t>“</w:t>
      </w:r>
      <w:r>
        <w:rPr>
          <w:rFonts w:hint="eastAsia" w:eastAsia="宋体" w:cs="Times New Roman"/>
          <w:sz w:val="20"/>
          <w:szCs w:val="20"/>
          <w:lang w:val="en-US" w:eastAsia="zh-CN"/>
        </w:rPr>
        <w:t>off</w:t>
      </w:r>
      <w:r>
        <w:rPr>
          <w:rFonts w:hint="default" w:eastAsia="宋体" w:cs="Times New Roman"/>
          <w:sz w:val="20"/>
          <w:szCs w:val="20"/>
          <w:lang w:val="en-US" w:eastAsia="zh-CN"/>
        </w:rPr>
        <w:t>”</w:t>
      </w:r>
      <w:r>
        <w:rPr>
          <w:rFonts w:hint="eastAsia" w:eastAsia="宋体" w:cs="Times New Roman"/>
          <w:sz w:val="20"/>
          <w:szCs w:val="20"/>
          <w:lang w:val="en-US" w:eastAsia="zh-CN"/>
        </w:rPr>
        <w:t xml:space="preserve"> which means NTN service is not-available and UE will not receive any downlink signals including SSB and  CSI-RS which are closely relevant to RAN4 measurements such as L3/L1 measurement in RRC Connected state and cell re-selection measurement in RRC Idle/Inactive state. UEs in N1 coverage will not perform any RRM measurements.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 xml:space="preserve">Observation 3: N1 beam footprints are in state </w:t>
      </w:r>
      <w:r>
        <w:rPr>
          <w:rFonts w:hint="default" w:eastAsia="宋体" w:cs="Times New Roman"/>
          <w:b/>
          <w:bCs/>
          <w:sz w:val="22"/>
          <w:lang w:val="en-US" w:eastAsia="zh-CN"/>
        </w:rPr>
        <w:t>“</w:t>
      </w:r>
      <w:r>
        <w:rPr>
          <w:rFonts w:hint="eastAsia" w:eastAsia="宋体" w:cs="Times New Roman"/>
          <w:b/>
          <w:bCs/>
          <w:sz w:val="22"/>
          <w:lang w:val="en-US" w:eastAsia="zh-CN"/>
        </w:rPr>
        <w:t>off</w:t>
      </w:r>
      <w:r>
        <w:rPr>
          <w:rFonts w:hint="default" w:eastAsia="宋体" w:cs="Times New Roman"/>
          <w:b/>
          <w:bCs/>
          <w:sz w:val="22"/>
          <w:lang w:val="en-US" w:eastAsia="zh-CN"/>
        </w:rPr>
        <w:t>”</w:t>
      </w:r>
      <w:r>
        <w:rPr>
          <w:rFonts w:hint="eastAsia" w:eastAsia="宋体" w:cs="Times New Roman"/>
          <w:b/>
          <w:bCs/>
          <w:sz w:val="22"/>
          <w:lang w:val="en-US" w:eastAsia="zh-CN"/>
        </w:rPr>
        <w:t xml:space="preserve"> which means NTN service is not-available and UE will not receive any downlink signals including SSB and  CSI-RS.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2"/>
          <w:lang w:val="en-US" w:eastAsia="zh-CN"/>
        </w:rPr>
      </w:pPr>
      <w:r>
        <w:rPr>
          <w:rFonts w:hint="eastAsia" w:eastAsia="宋体" w:cs="Times New Roman"/>
          <w:b/>
          <w:bCs/>
          <w:sz w:val="22"/>
          <w:lang w:val="en-US" w:eastAsia="zh-CN"/>
        </w:rPr>
        <w:t>Proposal 4: UEs in N1 coverage will not perform any RRM measurements such as L3/L1 measurement in RRC Connected state and cell re-selection measurement in RRC Idle/Inactive state.</w:t>
      </w:r>
    </w:p>
    <w:p>
      <w:pPr>
        <w:pStyle w:val="78"/>
        <w:numPr>
          <w:ilvl w:val="1"/>
          <w:numId w:val="0"/>
        </w:numPr>
        <w:rPr>
          <w:rFonts w:hint="default"/>
          <w:lang w:val="en-US" w:eastAsia="zh-CN"/>
        </w:rPr>
      </w:pPr>
      <w:r>
        <w:rPr>
          <w:rFonts w:hint="eastAsia"/>
          <w:lang w:eastAsia="zh-CN"/>
        </w:rPr>
        <w:t>2.</w:t>
      </w:r>
      <w:r>
        <w:rPr>
          <w:rFonts w:hint="eastAsia"/>
          <w:lang w:val="en-US" w:eastAsia="zh-CN"/>
        </w:rPr>
        <w:t>2 Support of Regenerative payload</w:t>
      </w:r>
    </w:p>
    <w:p>
      <w:pPr>
        <w:keepNext w:val="0"/>
        <w:keepLines w:val="0"/>
        <w:pageBreakBefore w:val="0"/>
        <w:widowControl/>
        <w:kinsoku/>
        <w:wordWrap/>
        <w:overflowPunct/>
        <w:topLinePunct w:val="0"/>
        <w:autoSpaceDE/>
        <w:autoSpaceDN/>
        <w:bidi w:val="0"/>
        <w:adjustRightInd/>
        <w:snapToGrid/>
        <w:spacing w:beforeLines="50" w:after="0" w:afterLines="50"/>
        <w:jc w:val="both"/>
        <w:textAlignment w:val="auto"/>
        <w:rPr>
          <w:rFonts w:hint="eastAsia" w:eastAsia="宋体" w:cs="Times New Roman"/>
          <w:sz w:val="20"/>
          <w:szCs w:val="20"/>
          <w:lang w:val="en-US" w:eastAsia="zh-CN"/>
        </w:rPr>
      </w:pPr>
      <w:r>
        <w:rPr>
          <w:rFonts w:hint="eastAsia" w:eastAsia="宋体" w:cs="Times New Roman"/>
          <w:sz w:val="22"/>
          <w:lang w:val="en-US" w:eastAsia="zh-CN"/>
        </w:rPr>
        <w:t>For NR NTN phase 3, the next objective is regenerative payload which is led by RAN3 and we found that there also has not been much progress in RAN2. We can analyze the potential RRM impact although there has been no discussion triggering RAN4 RRM at present</w:t>
      </w:r>
      <w:r>
        <w:rPr>
          <w:rFonts w:hint="eastAsia" w:eastAsia="宋体" w:cs="Times New Roman"/>
          <w:sz w:val="20"/>
          <w:szCs w:val="20"/>
          <w:lang w:val="en-US" w:eastAsia="zh-CN"/>
        </w:rPr>
        <w:t xml:space="preserve"> based on the latest revised WID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2"/>
              <w:keepNext w:val="0"/>
              <w:keepLines w:val="0"/>
              <w:widowControl/>
              <w:numPr>
                <w:ilvl w:val="-1"/>
                <w:numId w:val="0"/>
              </w:numPr>
              <w:suppressLineNumbers w:val="0"/>
              <w:overflowPunct w:val="0"/>
              <w:autoSpaceDE w:val="0"/>
              <w:autoSpaceDN w:val="0"/>
              <w:adjustRightInd w:val="0"/>
              <w:spacing w:before="0" w:beforeAutospacing="0" w:afterAutospacing="0" w:line="276" w:lineRule="auto"/>
              <w:ind w:left="360" w:right="0" w:firstLine="0"/>
              <w:contextualSpacing/>
              <w:jc w:val="left"/>
              <w:textAlignment w:val="baseline"/>
              <w:rPr>
                <w:rFonts w:hint="default" w:ascii="Times New Roman" w:hAnsi="Times New Roman" w:eastAsia="Calibri" w:cs="Times New Roman"/>
                <w:lang w:eastAsia="ko-KR"/>
              </w:rPr>
            </w:pPr>
            <w:bookmarkStart w:id="2" w:name="_Hlk153358806"/>
            <w:r>
              <w:rPr>
                <w:rFonts w:hint="default" w:ascii="Times New Roman" w:hAnsi="Times New Roman" w:eastAsia="Malgun Gothic" w:cs="Times New Roman"/>
                <w:lang w:eastAsia="ko-KR"/>
              </w:rPr>
              <w:t xml:space="preserve">Support of regenerative payload [RAN3, RAN2, </w:t>
            </w:r>
            <w:r>
              <w:rPr>
                <w:rFonts w:hint="default" w:ascii="Times New Roman" w:hAnsi="Times New Roman" w:eastAsia="Malgun Gothic" w:cs="Times New Roman"/>
                <w:highlight w:val="yellow"/>
                <w:lang w:eastAsia="ko-KR"/>
              </w:rPr>
              <w:t>RAN4</w:t>
            </w:r>
            <w:r>
              <w:rPr>
                <w:rFonts w:hint="default" w:ascii="Times New Roman" w:hAnsi="Times New Roman" w:eastAsia="Malgun Gothic" w:cs="Times New Roman"/>
                <w:lang w:eastAsia="ko-KR"/>
              </w:rPr>
              <w:t>]</w:t>
            </w:r>
          </w:p>
          <w:p>
            <w:pPr>
              <w:pStyle w:val="72"/>
              <w:keepNext w:val="0"/>
              <w:keepLines w:val="0"/>
              <w:widowControl/>
              <w:numPr>
                <w:ilvl w:val="0"/>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Specify the support of gNB on board in TS 38.300</w:t>
            </w:r>
          </w:p>
          <w:p>
            <w:pPr>
              <w:pStyle w:val="72"/>
              <w:keepNext w:val="0"/>
              <w:keepLines w:val="0"/>
              <w:widowControl/>
              <w:numPr>
                <w:ilvl w:val="0"/>
                <w:numId w:val="4"/>
              </w:numPr>
              <w:suppressLineNumbers w:val="0"/>
              <w:spacing w:before="0" w:beforeAutospacing="0" w:afterAutospacing="0" w:line="276" w:lineRule="auto"/>
              <w:ind w:right="0" w:firstLineChars="0"/>
              <w:contextualSpacing/>
              <w:rPr>
                <w:rFonts w:hint="default" w:ascii="Times New Roman" w:hAnsi="Times New Roman" w:cs="Times New Roman"/>
                <w:sz w:val="20"/>
                <w:szCs w:val="20"/>
              </w:rPr>
            </w:pPr>
            <w:r>
              <w:rPr>
                <w:rFonts w:hint="default" w:ascii="Times New Roman" w:hAnsi="Times New Roman" w:cs="Times New Roman"/>
                <w:sz w:val="20"/>
                <w:szCs w:val="20"/>
              </w:rPr>
              <w:t>Specify, if needed, any necessary enhancements related to the intra and inter-gNB mobility, especially for Xn interface over feeder link or over ISL. [RAN3]</w:t>
            </w:r>
          </w:p>
          <w:p>
            <w:pPr>
              <w:pStyle w:val="72"/>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Lines="50" w:beforeAutospacing="0" w:after="0" w:afterLines="50" w:afterAutospacing="0" w:line="276" w:lineRule="auto"/>
              <w:ind w:right="0"/>
              <w:contextualSpacing/>
              <w:jc w:val="both"/>
              <w:textAlignment w:val="auto"/>
              <w:rPr>
                <w:rFonts w:hint="eastAsia" w:eastAsia="宋体" w:cs="Times New Roman"/>
                <w:sz w:val="20"/>
                <w:szCs w:val="20"/>
                <w:vertAlign w:val="baseline"/>
                <w:lang w:val="en-US" w:eastAsia="zh-CN"/>
              </w:rPr>
            </w:pPr>
            <w:r>
              <w:rPr>
                <w:rFonts w:hint="default" w:ascii="Times New Roman" w:hAnsi="Times New Roman" w:cs="Times New Roman"/>
                <w:sz w:val="20"/>
                <w:szCs w:val="20"/>
              </w:rPr>
              <w:t>Note: if any additional necessary stage-3 specifications impact for e.g. NGAP is identified, RAN3 will handle it.</w:t>
            </w:r>
            <w:bookmarkEnd w:id="2"/>
          </w:p>
        </w:tc>
      </w:tr>
    </w:tbl>
    <w:p>
      <w:pPr>
        <w:overflowPunct w:val="0"/>
        <w:autoSpaceDE w:val="0"/>
        <w:autoSpaceDN w:val="0"/>
        <w:adjustRightInd w:val="0"/>
        <w:spacing w:before="120" w:after="120" w:line="360" w:lineRule="auto"/>
        <w:jc w:val="both"/>
        <w:textAlignment w:val="baseline"/>
        <w:rPr>
          <w:rFonts w:hint="eastAsia" w:eastAsia="宋体" w:cs="Times New Roman"/>
          <w:sz w:val="22"/>
          <w:lang w:val="en-US" w:eastAsia="zh-CN"/>
        </w:rPr>
      </w:pPr>
      <w:r>
        <w:rPr>
          <w:rFonts w:hint="eastAsia" w:eastAsia="宋体" w:cs="Times New Roman"/>
          <w:sz w:val="22"/>
          <w:lang w:val="en-US" w:eastAsia="zh-CN"/>
        </w:rPr>
        <w:t>The following point can be discussed:</w:t>
      </w:r>
    </w:p>
    <w:p>
      <w:pPr>
        <w:numPr>
          <w:ilvl w:val="0"/>
          <w:numId w:val="10"/>
        </w:numPr>
        <w:overflowPunct w:val="0"/>
        <w:autoSpaceDE w:val="0"/>
        <w:autoSpaceDN w:val="0"/>
        <w:adjustRightInd w:val="0"/>
        <w:spacing w:before="120" w:after="120" w:line="360" w:lineRule="auto"/>
        <w:jc w:val="both"/>
        <w:textAlignment w:val="baseline"/>
        <w:rPr>
          <w:rFonts w:hint="default" w:eastAsia="宋体" w:cs="Times New Roman"/>
          <w:sz w:val="22"/>
          <w:lang w:val="en-US" w:eastAsia="zh-CN"/>
        </w:rPr>
      </w:pPr>
      <w:r>
        <w:rPr>
          <w:rFonts w:hint="eastAsia" w:eastAsia="宋体" w:cs="Times New Roman"/>
          <w:sz w:val="22"/>
          <w:lang w:val="en-US" w:eastAsia="zh-CN"/>
        </w:rPr>
        <w:t>Multiple SMTCs</w:t>
      </w:r>
    </w:p>
    <w:p>
      <w:pPr>
        <w:numPr>
          <w:ilvl w:val="0"/>
          <w:numId w:val="10"/>
        </w:numPr>
        <w:overflowPunct w:val="0"/>
        <w:autoSpaceDE w:val="0"/>
        <w:autoSpaceDN w:val="0"/>
        <w:adjustRightInd w:val="0"/>
        <w:spacing w:before="120" w:after="120" w:line="360" w:lineRule="auto"/>
        <w:jc w:val="both"/>
        <w:textAlignment w:val="baseline"/>
        <w:rPr>
          <w:rFonts w:hint="default" w:eastAsia="宋体" w:cs="Times New Roman"/>
          <w:sz w:val="22"/>
          <w:lang w:val="en-US" w:eastAsia="zh-CN"/>
        </w:rPr>
      </w:pPr>
      <w:r>
        <w:rPr>
          <w:rFonts w:hint="eastAsia" w:eastAsia="宋体" w:cs="Times New Roman"/>
          <w:sz w:val="22"/>
          <w:lang w:val="en-US" w:eastAsia="zh-CN"/>
        </w:rPr>
        <w:t>RACH-less handover</w:t>
      </w:r>
    </w:p>
    <w:p>
      <w:pPr>
        <w:numPr>
          <w:ilvl w:val="0"/>
          <w:numId w:val="10"/>
        </w:numPr>
        <w:overflowPunct w:val="0"/>
        <w:autoSpaceDE w:val="0"/>
        <w:autoSpaceDN w:val="0"/>
        <w:adjustRightInd w:val="0"/>
        <w:spacing w:before="120" w:after="120" w:line="360" w:lineRule="auto"/>
        <w:jc w:val="both"/>
        <w:textAlignment w:val="baseline"/>
        <w:rPr>
          <w:rFonts w:hint="default" w:eastAsia="宋体" w:cs="Times New Roman"/>
          <w:sz w:val="22"/>
          <w:lang w:val="en-US" w:eastAsia="zh-CN"/>
        </w:rPr>
      </w:pPr>
      <w:r>
        <w:rPr>
          <w:rFonts w:hint="eastAsia" w:eastAsia="宋体" w:cs="Times New Roman"/>
          <w:sz w:val="22"/>
          <w:lang w:val="en-US" w:eastAsia="zh-CN"/>
        </w:rPr>
        <w:t>Satellite switch</w:t>
      </w:r>
    </w:p>
    <w:p>
      <w:pPr>
        <w:numPr>
          <w:ilvl w:val="0"/>
          <w:numId w:val="10"/>
        </w:numPr>
        <w:overflowPunct w:val="0"/>
        <w:autoSpaceDE w:val="0"/>
        <w:autoSpaceDN w:val="0"/>
        <w:adjustRightInd w:val="0"/>
        <w:spacing w:before="120" w:after="120" w:line="360" w:lineRule="auto"/>
        <w:jc w:val="both"/>
        <w:textAlignment w:val="baseline"/>
        <w:rPr>
          <w:rFonts w:hint="default" w:eastAsia="宋体" w:cs="Times New Roman"/>
          <w:sz w:val="22"/>
          <w:lang w:val="en-US" w:eastAsia="zh-CN"/>
        </w:rPr>
      </w:pPr>
      <w:r>
        <w:rPr>
          <w:rFonts w:hint="eastAsia" w:eastAsia="宋体" w:cs="Times New Roman"/>
          <w:sz w:val="22"/>
          <w:lang w:val="en-US" w:eastAsia="zh-CN"/>
        </w:rPr>
        <w:t>RRC Re-establishment</w:t>
      </w:r>
    </w:p>
    <w:p>
      <w:pPr>
        <w:numPr>
          <w:ilvl w:val="0"/>
          <w:numId w:val="10"/>
        </w:numPr>
        <w:overflowPunct w:val="0"/>
        <w:autoSpaceDE w:val="0"/>
        <w:autoSpaceDN w:val="0"/>
        <w:adjustRightInd w:val="0"/>
        <w:spacing w:before="120" w:after="120" w:line="360" w:lineRule="auto"/>
        <w:jc w:val="both"/>
        <w:textAlignment w:val="baseline"/>
        <w:rPr>
          <w:rFonts w:hint="default" w:eastAsia="宋体" w:cs="Times New Roman"/>
          <w:sz w:val="22"/>
          <w:lang w:val="en-US" w:eastAsia="zh-CN"/>
        </w:rPr>
      </w:pPr>
      <w:r>
        <w:rPr>
          <w:rFonts w:hint="eastAsia" w:eastAsia="宋体" w:cs="Times New Roman"/>
          <w:sz w:val="22"/>
          <w:lang w:val="en-US" w:eastAsia="zh-CN"/>
        </w:rPr>
        <w:t>Timing</w:t>
      </w:r>
    </w:p>
    <w:p>
      <w:pPr>
        <w:pStyle w:val="4"/>
        <w:overflowPunct w:val="0"/>
        <w:autoSpaceDE w:val="0"/>
        <w:autoSpaceDN w:val="0"/>
        <w:adjustRightInd w:val="0"/>
        <w:spacing w:before="120" w:after="120" w:line="360" w:lineRule="auto"/>
        <w:jc w:val="both"/>
        <w:textAlignment w:val="baseline"/>
        <w:rPr>
          <w:rFonts w:hint="default"/>
          <w:sz w:val="24"/>
          <w:szCs w:val="18"/>
          <w:lang w:val="en-US" w:eastAsia="zh-CN"/>
        </w:rPr>
      </w:pPr>
      <w:r>
        <w:rPr>
          <w:rFonts w:hint="eastAsia"/>
          <w:sz w:val="24"/>
          <w:szCs w:val="18"/>
          <w:lang w:val="en-US" w:eastAsia="zh-CN"/>
        </w:rPr>
        <w:t>2.2.1 Multiple SMTCs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sz w:val="20"/>
          <w:szCs w:val="20"/>
          <w:lang w:val="en-US" w:eastAsia="zh-CN"/>
        </w:rPr>
      </w:pPr>
      <w:r>
        <w:rPr>
          <w:rFonts w:hint="eastAsia" w:eastAsia="宋体" w:cs="Times New Roman"/>
          <w:sz w:val="20"/>
          <w:szCs w:val="20"/>
          <w:lang w:val="en-US" w:eastAsia="zh-CN"/>
        </w:rPr>
        <w:t>In legacy, the multiple SMTCs shall be reused since this feature is not decided by types of UE. However, we also deem that the multiple SMTCs can be reused in this objective. If the elevation angles between different satellites are too large, the time difference of the SSBs arriving at the UE from different satellites is considered significant enough that they would require different SMTCs for reception. Multiple SMTCs would then measure different target satellites. Therefore,  RAN4 shall clarify whether the legacy multiple SMTCs mechanism can be used for regenerative payload or not.</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 xml:space="preserve">Proposal 5: RAN4 shall clarify whether the legacy multiple SMTCs mechanism can be used for regenerative payload or not. </w:t>
      </w:r>
    </w:p>
    <w:p>
      <w:pPr>
        <w:pStyle w:val="4"/>
        <w:overflowPunct w:val="0"/>
        <w:autoSpaceDE w:val="0"/>
        <w:autoSpaceDN w:val="0"/>
        <w:adjustRightInd w:val="0"/>
        <w:spacing w:before="120" w:after="120" w:line="360" w:lineRule="auto"/>
        <w:jc w:val="both"/>
        <w:textAlignment w:val="baseline"/>
        <w:rPr>
          <w:rFonts w:hint="default"/>
          <w:sz w:val="24"/>
          <w:szCs w:val="18"/>
          <w:lang w:val="en-US" w:eastAsia="zh-CN"/>
        </w:rPr>
      </w:pPr>
      <w:r>
        <w:rPr>
          <w:rFonts w:hint="eastAsia"/>
          <w:sz w:val="24"/>
          <w:szCs w:val="18"/>
          <w:lang w:val="en-US" w:eastAsia="zh-CN"/>
        </w:rPr>
        <w:t>2.2.2 RACH-less handover</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sz w:val="20"/>
          <w:szCs w:val="20"/>
          <w:lang w:val="en-US" w:eastAsia="zh-CN"/>
        </w:rPr>
      </w:pPr>
      <w:r>
        <w:rPr>
          <w:rFonts w:hint="default" w:eastAsia="宋体" w:cs="Times New Roman"/>
          <w:sz w:val="20"/>
          <w:szCs w:val="20"/>
          <w:lang w:val="en-US" w:eastAsia="zh-CN"/>
        </w:rPr>
        <w:t>RAN2 has already reached the agreement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0"/>
                <w:numId w:val="11"/>
              </w:numPr>
              <w:suppressLineNumbers w:val="0"/>
              <w:spacing w:before="0" w:beforeAutospacing="0" w:afterAutospacing="0"/>
              <w:ind w:left="0" w:right="0"/>
              <w:rPr>
                <w:rFonts w:hint="default"/>
                <w:sz w:val="20"/>
                <w:szCs w:val="20"/>
                <w:highlight w:val="none"/>
                <w:lang w:val="en-US" w:eastAsia="zh-CN"/>
              </w:rPr>
            </w:pPr>
            <w:r>
              <w:rPr>
                <w:rFonts w:hint="default"/>
                <w:sz w:val="20"/>
                <w:szCs w:val="20"/>
                <w:highlight w:val="none"/>
                <w:lang w:val="en-US" w:eastAsia="zh-CN"/>
              </w:rPr>
              <w:t>RAN2 confirms the understanding that legacy UEs should be supported in a regenerative payload scenario.</w:t>
            </w:r>
          </w:p>
          <w:p>
            <w:pPr>
              <w:keepNext w:val="0"/>
              <w:keepLines w:val="0"/>
              <w:widowControl/>
              <w:suppressLineNumbers w:val="0"/>
              <w:spacing w:before="0" w:beforeAutospacing="0" w:afterAutospacing="0"/>
              <w:ind w:left="0" w:right="0"/>
              <w:rPr>
                <w:rFonts w:hint="default"/>
                <w:sz w:val="20"/>
                <w:szCs w:val="20"/>
                <w:highlight w:val="yellow"/>
                <w:lang w:val="en-US" w:eastAsia="zh-CN"/>
              </w:rPr>
            </w:pPr>
            <w:r>
              <w:rPr>
                <w:rFonts w:hint="eastAsia"/>
                <w:sz w:val="20"/>
                <w:szCs w:val="20"/>
                <w:highlight w:val="none"/>
                <w:lang w:val="en-US" w:eastAsia="zh-CN"/>
              </w:rPr>
              <w:t xml:space="preserve">2 </w:t>
            </w:r>
            <w:r>
              <w:rPr>
                <w:rFonts w:hint="default"/>
                <w:sz w:val="20"/>
                <w:szCs w:val="20"/>
                <w:highlight w:val="none"/>
                <w:lang w:val="en-US" w:eastAsia="zh-CN"/>
              </w:rPr>
              <w:t>RAN2 understanding is that for regenerative payload existing RACH-less HO could be applied directly, no further Uu enhancement is needed.</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RAN2 confirms the legacy UEs shall also be supported in the regenerative mode. Also, the existing RACH-less handover procedure for transparent payload scenario can be directly used in regenerative mode. Thus, we deem that the procedure for RACH-less handover is not changed and the existing RACH-less handover requirements shall be reused for regenerative mode.</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4: RAN2 confirms the existing RACH-less handover procedure for transparent payload scenario can be directly used in regenerative mode.</w:t>
      </w:r>
    </w:p>
    <w:p>
      <w:pPr>
        <w:overflowPunct w:val="0"/>
        <w:autoSpaceDE w:val="0"/>
        <w:autoSpaceDN w:val="0"/>
        <w:adjustRightInd w:val="0"/>
        <w:spacing w:before="120" w:after="120" w:line="360" w:lineRule="auto"/>
        <w:jc w:val="both"/>
        <w:textAlignment w:val="baseline"/>
        <w:rPr>
          <w:rFonts w:hint="eastAsia" w:eastAsia="宋体"/>
          <w:b w:val="0"/>
          <w:bCs w:val="0"/>
          <w:sz w:val="22"/>
          <w:lang w:val="en-US" w:eastAsia="zh-CN"/>
        </w:rPr>
      </w:pPr>
      <w:r>
        <w:rPr>
          <w:rFonts w:hint="eastAsia" w:eastAsia="宋体"/>
          <w:b/>
          <w:bCs/>
          <w:sz w:val="22"/>
          <w:lang w:val="en-US" w:eastAsia="zh-CN"/>
        </w:rPr>
        <w:t>Proposal 6: The existing RACH-less handover requirements shall be reused for regenerative mode</w:t>
      </w:r>
      <w:r>
        <w:rPr>
          <w:rFonts w:hint="eastAsia" w:eastAsia="宋体"/>
          <w:b w:val="0"/>
          <w:bCs w:val="0"/>
          <w:sz w:val="22"/>
          <w:lang w:val="en-US" w:eastAsia="zh-CN"/>
        </w:rPr>
        <w:t>.</w:t>
      </w:r>
    </w:p>
    <w:p>
      <w:pPr>
        <w:pStyle w:val="4"/>
        <w:overflowPunct w:val="0"/>
        <w:autoSpaceDE w:val="0"/>
        <w:autoSpaceDN w:val="0"/>
        <w:adjustRightInd w:val="0"/>
        <w:spacing w:before="120" w:after="120" w:line="360" w:lineRule="auto"/>
        <w:jc w:val="both"/>
        <w:textAlignment w:val="baseline"/>
        <w:rPr>
          <w:rFonts w:hint="default"/>
          <w:sz w:val="24"/>
          <w:szCs w:val="18"/>
          <w:lang w:val="en-US" w:eastAsia="zh-CN"/>
        </w:rPr>
      </w:pPr>
      <w:r>
        <w:rPr>
          <w:rFonts w:hint="eastAsia"/>
          <w:sz w:val="24"/>
          <w:szCs w:val="18"/>
          <w:lang w:val="en-US" w:eastAsia="zh-CN"/>
        </w:rPr>
        <w:t xml:space="preserve">2.2.3 Satellite switch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The satellite switch has been discussed in RAN plenary meeting, the concrete discussion can be seen as below:</w:t>
      </w:r>
    </w:p>
    <w:p>
      <w:pPr>
        <w:overflowPunct w:val="0"/>
        <w:autoSpaceDE w:val="0"/>
        <w:autoSpaceDN w:val="0"/>
        <w:adjustRightInd w:val="0"/>
        <w:spacing w:before="120" w:after="120" w:line="360" w:lineRule="auto"/>
        <w:jc w:val="center"/>
        <w:textAlignment w:val="baseline"/>
      </w:pPr>
      <w:r>
        <w:drawing>
          <wp:inline distT="0" distB="0" distL="114300" distR="114300">
            <wp:extent cx="4201795" cy="1699260"/>
            <wp:effectExtent l="0" t="0" r="4445"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8"/>
                    <a:stretch>
                      <a:fillRect/>
                    </a:stretch>
                  </pic:blipFill>
                  <pic:spPr>
                    <a:xfrm>
                      <a:off x="0" y="0"/>
                      <a:ext cx="4201795" cy="1699260"/>
                    </a:xfrm>
                    <a:prstGeom prst="rect">
                      <a:avLst/>
                    </a:prstGeom>
                    <a:noFill/>
                    <a:ln>
                      <a:noFill/>
                    </a:ln>
                  </pic:spPr>
                </pic:pic>
              </a:graphicData>
            </a:graphic>
          </wp:inline>
        </w:drawing>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We find that there is no conclusion on whether support the satellite switch with re-sync on regenerative payload or not. Thus, this requirement shall not be considered in this stage from RRM perspective.</w:t>
      </w:r>
    </w:p>
    <w:p>
      <w:pPr>
        <w:overflowPunct w:val="0"/>
        <w:autoSpaceDE w:val="0"/>
        <w:autoSpaceDN w:val="0"/>
        <w:adjustRightInd w:val="0"/>
        <w:spacing w:before="120" w:after="120" w:line="360" w:lineRule="auto"/>
        <w:jc w:val="both"/>
        <w:textAlignment w:val="baseline"/>
        <w:rPr>
          <w:rFonts w:hint="eastAsia"/>
          <w:b/>
          <w:bCs/>
          <w:lang w:val="en-US" w:eastAsia="zh-CN"/>
        </w:rPr>
      </w:pPr>
      <w:r>
        <w:rPr>
          <w:rFonts w:hint="eastAsia"/>
          <w:b/>
          <w:bCs/>
          <w:lang w:val="en-US" w:eastAsia="zh-CN"/>
        </w:rPr>
        <w:t>Observation 5: There is no conclusion on whether support the satellite switch with re-sync on regenerative payload or not.</w:t>
      </w:r>
    </w:p>
    <w:p>
      <w:pPr>
        <w:overflowPunct w:val="0"/>
        <w:autoSpaceDE w:val="0"/>
        <w:autoSpaceDN w:val="0"/>
        <w:adjustRightInd w:val="0"/>
        <w:spacing w:before="120" w:after="120" w:line="360" w:lineRule="auto"/>
        <w:jc w:val="both"/>
        <w:textAlignment w:val="baseline"/>
        <w:rPr>
          <w:rFonts w:hint="eastAsia"/>
          <w:lang w:val="en-US" w:eastAsia="zh-CN"/>
        </w:rPr>
      </w:pPr>
      <w:r>
        <w:rPr>
          <w:rFonts w:hint="eastAsia"/>
          <w:b/>
          <w:bCs/>
          <w:lang w:val="en-US" w:eastAsia="zh-CN"/>
        </w:rPr>
        <w:t>Proposal 7: RAN4 shall not consider satellite switch on regenerative payload in this stage.</w:t>
      </w:r>
    </w:p>
    <w:p>
      <w:pPr>
        <w:pStyle w:val="4"/>
        <w:overflowPunct w:val="0"/>
        <w:autoSpaceDE w:val="0"/>
        <w:autoSpaceDN w:val="0"/>
        <w:adjustRightInd w:val="0"/>
        <w:spacing w:before="120" w:after="120" w:line="360" w:lineRule="auto"/>
        <w:jc w:val="both"/>
        <w:textAlignment w:val="baseline"/>
        <w:rPr>
          <w:rFonts w:hint="default"/>
          <w:sz w:val="24"/>
          <w:szCs w:val="18"/>
          <w:lang w:val="en-US" w:eastAsia="zh-CN"/>
        </w:rPr>
      </w:pPr>
      <w:r>
        <w:rPr>
          <w:rFonts w:hint="eastAsia"/>
          <w:sz w:val="24"/>
          <w:szCs w:val="18"/>
          <w:lang w:val="en-US" w:eastAsia="zh-CN"/>
        </w:rPr>
        <w:t>2.2.4 RRC Re-establishment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For RRC Re-establishment requirements, RAN3 has reached one agreement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120" w:beforeAutospacing="0" w:after="120" w:afterAutospacing="0" w:line="360" w:lineRule="auto"/>
              <w:ind w:left="0" w:right="0"/>
              <w:jc w:val="both"/>
              <w:textAlignment w:val="baseline"/>
              <w:rPr>
                <w:rFonts w:hint="default"/>
                <w:sz w:val="20"/>
                <w:szCs w:val="20"/>
                <w:vertAlign w:val="baseline"/>
                <w:lang w:val="en-US" w:eastAsia="zh-CN"/>
              </w:rPr>
            </w:pPr>
            <w:r>
              <w:rPr>
                <w:rFonts w:hint="default"/>
                <w:sz w:val="20"/>
                <w:szCs w:val="20"/>
                <w:vertAlign w:val="baseline"/>
                <w:lang w:val="en-US" w:eastAsia="zh-CN"/>
              </w:rPr>
              <w:t>Inactive UE support</w:t>
            </w:r>
            <w:r>
              <w:rPr>
                <w:rFonts w:hint="eastAsia"/>
                <w:sz w:val="20"/>
                <w:szCs w:val="20"/>
                <w:vertAlign w:val="baseline"/>
                <w:lang w:val="en-US" w:eastAsia="zh-CN"/>
              </w:rPr>
              <w:t>:</w:t>
            </w:r>
          </w:p>
          <w:p>
            <w:pPr>
              <w:keepNext w:val="0"/>
              <w:keepLines w:val="0"/>
              <w:widowControl/>
              <w:suppressLineNumbers w:val="0"/>
              <w:overflowPunct w:val="0"/>
              <w:autoSpaceDE w:val="0"/>
              <w:autoSpaceDN w:val="0"/>
              <w:adjustRightInd w:val="0"/>
              <w:spacing w:before="120" w:beforeAutospacing="0" w:after="120" w:afterAutospacing="0" w:line="360" w:lineRule="auto"/>
              <w:ind w:left="0" w:right="0"/>
              <w:jc w:val="both"/>
              <w:textAlignment w:val="baseline"/>
              <w:rPr>
                <w:rFonts w:hint="default"/>
                <w:sz w:val="20"/>
                <w:szCs w:val="20"/>
                <w:vertAlign w:val="baseline"/>
                <w:lang w:val="en-US" w:eastAsia="zh-CN"/>
              </w:rPr>
            </w:pPr>
            <w:r>
              <w:rPr>
                <w:rFonts w:hint="default"/>
                <w:sz w:val="20"/>
                <w:szCs w:val="20"/>
                <w:vertAlign w:val="baseline"/>
                <w:lang w:val="en-US" w:eastAsia="zh-CN"/>
              </w:rPr>
              <w:t xml:space="preserve">RAN3 assumes that current mechanisms to </w:t>
            </w:r>
            <w:r>
              <w:rPr>
                <w:rFonts w:hint="default"/>
                <w:sz w:val="20"/>
                <w:szCs w:val="20"/>
                <w:highlight w:val="yellow"/>
                <w:vertAlign w:val="baseline"/>
                <w:lang w:val="en-US" w:eastAsia="zh-CN"/>
              </w:rPr>
              <w:t>support UEs performing RRC connection resume and RRC connection re-establishment may be reused in regenerative payload architecture</w:t>
            </w:r>
            <w:r>
              <w:rPr>
                <w:rFonts w:hint="default"/>
                <w:sz w:val="20"/>
                <w:szCs w:val="20"/>
                <w:vertAlign w:val="baseline"/>
                <w:lang w:val="en-US" w:eastAsia="zh-CN"/>
              </w:rPr>
              <w:t>, subject to implementation and deployment.</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We know that RAN3 has supported UE performing RRC connection resume and RRC connection re-establishment for regenerative payload architecture. From RAN4 perspective, the existing requirements could be considered for regenerative payload.</w:t>
      </w:r>
    </w:p>
    <w:p>
      <w:pPr>
        <w:overflowPunct w:val="0"/>
        <w:autoSpaceDE w:val="0"/>
        <w:autoSpaceDN w:val="0"/>
        <w:adjustRightInd w:val="0"/>
        <w:spacing w:before="120" w:after="120" w:line="360" w:lineRule="auto"/>
        <w:jc w:val="both"/>
        <w:textAlignment w:val="baseline"/>
        <w:rPr>
          <w:rFonts w:hint="eastAsia"/>
          <w:b/>
          <w:bCs/>
          <w:lang w:val="en-US" w:eastAsia="zh-CN"/>
        </w:rPr>
      </w:pPr>
      <w:r>
        <w:rPr>
          <w:rFonts w:hint="eastAsia"/>
          <w:b/>
          <w:bCs/>
          <w:lang w:val="en-US" w:eastAsia="zh-CN"/>
        </w:rPr>
        <w:t>Proposal 8: From RAN4 perspective, the existing requirements could be considered for regenerative payload.</w:t>
      </w:r>
    </w:p>
    <w:p>
      <w:pPr>
        <w:pStyle w:val="4"/>
        <w:overflowPunct w:val="0"/>
        <w:autoSpaceDE w:val="0"/>
        <w:autoSpaceDN w:val="0"/>
        <w:adjustRightInd w:val="0"/>
        <w:spacing w:before="120" w:after="120" w:line="360" w:lineRule="auto"/>
        <w:jc w:val="both"/>
        <w:textAlignment w:val="baseline"/>
        <w:rPr>
          <w:rFonts w:hint="default" w:eastAsia="宋体"/>
          <w:b w:val="0"/>
          <w:bCs w:val="0"/>
          <w:sz w:val="22"/>
          <w:szCs w:val="20"/>
          <w:lang w:val="en-US" w:eastAsia="zh-CN"/>
        </w:rPr>
      </w:pPr>
      <w:r>
        <w:rPr>
          <w:rFonts w:hint="eastAsia"/>
          <w:sz w:val="24"/>
          <w:szCs w:val="18"/>
          <w:lang w:val="en-US" w:eastAsia="zh-CN"/>
        </w:rPr>
        <w:t xml:space="preserve">2.2.5 Timing  </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eastAsia" w:eastAsia="宋体" w:cs="Times New Roman"/>
          <w:sz w:val="20"/>
          <w:szCs w:val="20"/>
          <w:lang w:val="en-US" w:eastAsia="zh-CN"/>
        </w:rPr>
        <w:t>For regenerative payload, we deem that the discussion of timing advance is one key point. In R17, RAN4 just discussed the UE TA pre-compensation and the reference ponit has been introduced by RAN1. When the reference point is on feeder link, UE will compensate the timing of service link and part of feeder link which is decided by position of reference point.  Compared to transparent payload, the regenerative payload will not consider the feeder link since the gNB is also deployed in payload and only service link has the data transmission between UEs and regenerative payload. In the existing specification we find :</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tcPr>
          <w:p>
            <w:pPr>
              <w:keepNext w:val="0"/>
              <w:keepLines w:val="0"/>
              <w:widowControl/>
              <w:suppressLineNumbers w:val="0"/>
              <w:spacing w:before="0" w:beforeAutospacing="0" w:afterAutospacing="0"/>
              <w:ind w:left="0" w:right="0"/>
              <w:rPr>
                <w:rFonts w:hint="eastAsia" w:ascii="Times New Roman" w:hAnsi="Times New Roman" w:cs="Times New Roman"/>
                <w:sz w:val="20"/>
                <w:szCs w:val="20"/>
              </w:rPr>
            </w:pPr>
            <w:r>
              <w:rPr>
                <w:rFonts w:hint="eastAsia" w:ascii="Times New Roman" w:hAnsi="Times New Roman" w:eastAsia="宋体" w:cs="Times New Roman"/>
                <w:sz w:val="20"/>
                <w:szCs w:val="20"/>
              </w:rPr>
              <w:t xml:space="preserve">The UE shall have capability to follow the frame timing change of the reference cell in connected state. The uplink frame transmission takes place </w:t>
            </w:r>
            <m:oMath>
              <m:d>
                <m:dPr>
                  <m:ctrlPr>
                    <w:rPr>
                      <w:rFonts w:hint="eastAsia" w:ascii="Cambria Math" w:hAnsi="Cambria Math" w:eastAsia="Times New Roman" w:cs="Times New Roman"/>
                      <w:i/>
                      <w:sz w:val="20"/>
                      <w:szCs w:val="20"/>
                      <w:highlight w:val="yellow"/>
                      <w:lang w:val="en-GB" w:eastAsia="en-GB"/>
                    </w:rPr>
                  </m:ctrlPr>
                </m:dPr>
                <m:e>
                  <m:sSub>
                    <m:sSubPr>
                      <m:ctrlPr>
                        <w:rPr>
                          <w:rFonts w:hint="eastAsia" w:ascii="Cambria Math" w:hAnsi="Cambria Math" w:eastAsia="Times New Roman" w:cs="Times New Roman"/>
                          <w:i/>
                          <w:sz w:val="20"/>
                          <w:szCs w:val="20"/>
                          <w:highlight w:val="yellow"/>
                          <w:lang w:val="en-GB" w:eastAsia="en-GB"/>
                        </w:rPr>
                      </m:ctrlPr>
                    </m:sSubPr>
                    <m:e>
                      <m:r>
                        <m:rPr/>
                        <w:rPr>
                          <w:rFonts w:hint="eastAsia" w:ascii="Cambria Math" w:hAnsi="Cambria Math" w:cs="Times New Roman"/>
                          <w:sz w:val="20"/>
                          <w:szCs w:val="20"/>
                          <w:highlight w:val="yellow"/>
                        </w:rPr>
                        <m:t>N</m:t>
                      </m:r>
                      <m:ctrlPr>
                        <w:rPr>
                          <w:rFonts w:hint="eastAsia" w:ascii="Cambria Math" w:hAnsi="Cambria Math" w:eastAsia="Times New Roman" w:cs="Times New Roman"/>
                          <w:i/>
                          <w:sz w:val="20"/>
                          <w:szCs w:val="20"/>
                          <w:highlight w:val="yellow"/>
                          <w:lang w:val="en-GB" w:eastAsia="en-GB"/>
                        </w:rPr>
                      </m:ctrlPr>
                    </m:e>
                    <m:sub>
                      <m:r>
                        <m:rPr>
                          <m:nor/>
                          <m:sty m:val="p"/>
                        </m:rPr>
                        <w:rPr>
                          <w:rFonts w:hint="eastAsia" w:ascii="Times New Roman" w:hAnsi="Times New Roman" w:cs="Times New Roman"/>
                          <w:b w:val="0"/>
                          <w:i w:val="0"/>
                          <w:sz w:val="20"/>
                          <w:szCs w:val="20"/>
                          <w:highlight w:val="yellow"/>
                        </w:rPr>
                        <m:t>TA</m:t>
                      </m:r>
                      <m:ctrlPr>
                        <w:rPr>
                          <w:rFonts w:hint="eastAsia" w:ascii="Cambria Math" w:hAnsi="Cambria Math" w:eastAsia="Times New Roman" w:cs="Times New Roman"/>
                          <w:i/>
                          <w:sz w:val="20"/>
                          <w:szCs w:val="20"/>
                          <w:highlight w:val="yellow"/>
                          <w:lang w:val="en-GB" w:eastAsia="en-GB"/>
                        </w:rPr>
                      </m:ctrlPr>
                    </m:sub>
                  </m:sSub>
                  <m:r>
                    <m:rPr/>
                    <w:rPr>
                      <w:rFonts w:hint="eastAsia" w:ascii="Cambria Math" w:hAnsi="Cambria Math" w:cs="Times New Roman"/>
                      <w:sz w:val="20"/>
                      <w:szCs w:val="20"/>
                      <w:highlight w:val="yellow"/>
                    </w:rPr>
                    <m:t>+</m:t>
                  </m:r>
                  <m:sSub>
                    <m:sSubPr>
                      <m:ctrlPr>
                        <w:rPr>
                          <w:rFonts w:hint="eastAsia" w:ascii="Cambria Math" w:hAnsi="Cambria Math" w:eastAsia="Times New Roman" w:cs="Times New Roman"/>
                          <w:i/>
                          <w:sz w:val="20"/>
                          <w:szCs w:val="20"/>
                          <w:highlight w:val="yellow"/>
                          <w:lang w:val="en-GB" w:eastAsia="en-GB"/>
                        </w:rPr>
                      </m:ctrlPr>
                    </m:sSubPr>
                    <m:e>
                      <m:r>
                        <m:rPr/>
                        <w:rPr>
                          <w:rFonts w:hint="eastAsia" w:ascii="Cambria Math" w:hAnsi="Cambria Math" w:cs="Times New Roman"/>
                          <w:sz w:val="20"/>
                          <w:szCs w:val="20"/>
                          <w:highlight w:val="yellow"/>
                        </w:rPr>
                        <m:t>N</m:t>
                      </m:r>
                      <m:ctrlPr>
                        <w:rPr>
                          <w:rFonts w:hint="eastAsia" w:ascii="Cambria Math" w:hAnsi="Cambria Math" w:eastAsia="Times New Roman" w:cs="Times New Roman"/>
                          <w:i/>
                          <w:sz w:val="20"/>
                          <w:szCs w:val="20"/>
                          <w:highlight w:val="yellow"/>
                          <w:lang w:val="en-GB" w:eastAsia="en-GB"/>
                        </w:rPr>
                      </m:ctrlPr>
                    </m:e>
                    <m:sub>
                      <m:r>
                        <m:rPr>
                          <m:nor/>
                          <m:sty m:val="p"/>
                        </m:rPr>
                        <w:rPr>
                          <w:rFonts w:hint="eastAsia" w:ascii="Times New Roman" w:hAnsi="Times New Roman" w:cs="Times New Roman"/>
                          <w:b w:val="0"/>
                          <w:i w:val="0"/>
                          <w:sz w:val="20"/>
                          <w:szCs w:val="20"/>
                          <w:highlight w:val="yellow"/>
                        </w:rPr>
                        <m:t>TA-offset</m:t>
                      </m:r>
                      <m:ctrlPr>
                        <w:rPr>
                          <w:rFonts w:hint="eastAsia" w:ascii="Cambria Math" w:hAnsi="Cambria Math" w:eastAsia="Times New Roman" w:cs="Times New Roman"/>
                          <w:i/>
                          <w:sz w:val="20"/>
                          <w:szCs w:val="20"/>
                          <w:highlight w:val="yellow"/>
                          <w:lang w:val="en-GB" w:eastAsia="en-GB"/>
                        </w:rPr>
                      </m:ctrlPr>
                    </m:sub>
                  </m:sSub>
                  <m:r>
                    <m:rPr/>
                    <w:rPr>
                      <w:rFonts w:hint="eastAsia" w:ascii="Cambria Math" w:hAnsi="Cambria Math" w:cs="Times New Roman"/>
                      <w:sz w:val="20"/>
                      <w:szCs w:val="20"/>
                      <w:highlight w:val="yellow"/>
                    </w:rPr>
                    <m:t>+</m:t>
                  </m:r>
                  <m:sSubSup>
                    <m:sSubSupPr>
                      <m:ctrlPr>
                        <w:rPr>
                          <w:rFonts w:hint="eastAsia" w:ascii="Cambria Math" w:hAnsi="Cambria Math" w:eastAsia="Times New Roman" w:cs="Times New Roman"/>
                          <w:i/>
                          <w:sz w:val="20"/>
                          <w:szCs w:val="20"/>
                          <w:highlight w:val="yellow"/>
                          <w:lang w:val="en-GB" w:eastAsia="en-GB"/>
                        </w:rPr>
                      </m:ctrlPr>
                    </m:sSubSupPr>
                    <m:e>
                      <m:r>
                        <m:rPr/>
                        <w:rPr>
                          <w:rFonts w:hint="eastAsia" w:ascii="Cambria Math" w:hAnsi="Cambria Math" w:cs="Times New Roman"/>
                          <w:sz w:val="20"/>
                          <w:szCs w:val="20"/>
                          <w:highlight w:val="yellow"/>
                        </w:rPr>
                        <m:t>N</m:t>
                      </m:r>
                      <m:ctrlPr>
                        <w:rPr>
                          <w:rFonts w:hint="eastAsia" w:ascii="Cambria Math" w:hAnsi="Cambria Math" w:eastAsia="Times New Roman" w:cs="Times New Roman"/>
                          <w:i/>
                          <w:sz w:val="20"/>
                          <w:szCs w:val="20"/>
                          <w:highlight w:val="yellow"/>
                          <w:lang w:val="en-GB" w:eastAsia="en-GB"/>
                        </w:rPr>
                      </m:ctrlPr>
                    </m:e>
                    <m:sub>
                      <m:r>
                        <m:rPr>
                          <m:nor/>
                          <m:sty m:val="p"/>
                        </m:rPr>
                        <w:rPr>
                          <w:rFonts w:hint="eastAsia" w:ascii="Times New Roman" w:hAnsi="Times New Roman" w:cs="Times New Roman"/>
                          <w:b w:val="0"/>
                          <w:i w:val="0"/>
                          <w:sz w:val="20"/>
                          <w:szCs w:val="20"/>
                          <w:highlight w:val="yellow"/>
                        </w:rPr>
                        <m:t>TA,adj</m:t>
                      </m:r>
                      <m:ctrlPr>
                        <w:rPr>
                          <w:rFonts w:hint="eastAsia" w:ascii="Cambria Math" w:hAnsi="Cambria Math" w:eastAsia="Times New Roman" w:cs="Times New Roman"/>
                          <w:i/>
                          <w:sz w:val="20"/>
                          <w:szCs w:val="20"/>
                          <w:highlight w:val="yellow"/>
                          <w:lang w:val="en-GB" w:eastAsia="en-GB"/>
                        </w:rPr>
                      </m:ctrlPr>
                    </m:sub>
                    <m:sup>
                      <m:r>
                        <m:rPr>
                          <m:nor/>
                          <m:sty m:val="p"/>
                        </m:rPr>
                        <w:rPr>
                          <w:rFonts w:hint="eastAsia" w:ascii="Times New Roman" w:hAnsi="Times New Roman" w:cs="Times New Roman"/>
                          <w:b w:val="0"/>
                          <w:i w:val="0"/>
                          <w:sz w:val="20"/>
                          <w:szCs w:val="20"/>
                          <w:highlight w:val="yellow"/>
                        </w:rPr>
                        <m:t>common</m:t>
                      </m:r>
                      <m:ctrlPr>
                        <w:rPr>
                          <w:rFonts w:hint="eastAsia" w:ascii="Cambria Math" w:hAnsi="Cambria Math" w:eastAsia="Times New Roman" w:cs="Times New Roman"/>
                          <w:i/>
                          <w:sz w:val="20"/>
                          <w:szCs w:val="20"/>
                          <w:highlight w:val="yellow"/>
                          <w:lang w:val="en-GB" w:eastAsia="en-GB"/>
                        </w:rPr>
                      </m:ctrlPr>
                    </m:sup>
                  </m:sSubSup>
                  <m:r>
                    <m:rPr/>
                    <w:rPr>
                      <w:rFonts w:hint="eastAsia" w:ascii="Cambria Math" w:hAnsi="Cambria Math" w:cs="Times New Roman"/>
                      <w:sz w:val="20"/>
                      <w:szCs w:val="20"/>
                      <w:highlight w:val="yellow"/>
                    </w:rPr>
                    <m:t>+</m:t>
                  </m:r>
                  <m:sSubSup>
                    <m:sSubSupPr>
                      <m:ctrlPr>
                        <w:rPr>
                          <w:rFonts w:hint="eastAsia" w:ascii="Cambria Math" w:hAnsi="Cambria Math" w:eastAsia="Times New Roman" w:cs="Times New Roman"/>
                          <w:i/>
                          <w:sz w:val="20"/>
                          <w:szCs w:val="20"/>
                          <w:highlight w:val="yellow"/>
                          <w:lang w:val="en-GB" w:eastAsia="en-GB"/>
                        </w:rPr>
                      </m:ctrlPr>
                    </m:sSubSupPr>
                    <m:e>
                      <m:r>
                        <m:rPr/>
                        <w:rPr>
                          <w:rFonts w:hint="eastAsia" w:ascii="Cambria Math" w:hAnsi="Cambria Math" w:cs="Times New Roman"/>
                          <w:sz w:val="20"/>
                          <w:szCs w:val="20"/>
                          <w:highlight w:val="yellow"/>
                        </w:rPr>
                        <m:t>N</m:t>
                      </m:r>
                      <m:ctrlPr>
                        <w:rPr>
                          <w:rFonts w:hint="eastAsia" w:ascii="Cambria Math" w:hAnsi="Cambria Math" w:eastAsia="Times New Roman" w:cs="Times New Roman"/>
                          <w:i/>
                          <w:sz w:val="20"/>
                          <w:szCs w:val="20"/>
                          <w:highlight w:val="yellow"/>
                          <w:lang w:val="en-GB" w:eastAsia="en-GB"/>
                        </w:rPr>
                      </m:ctrlPr>
                    </m:e>
                    <m:sub>
                      <m:r>
                        <m:rPr>
                          <m:nor/>
                          <m:sty m:val="p"/>
                        </m:rPr>
                        <w:rPr>
                          <w:rFonts w:hint="eastAsia" w:ascii="Times New Roman" w:hAnsi="Times New Roman" w:cs="Times New Roman"/>
                          <w:b w:val="0"/>
                          <w:i w:val="0"/>
                          <w:sz w:val="20"/>
                          <w:szCs w:val="20"/>
                          <w:highlight w:val="yellow"/>
                        </w:rPr>
                        <m:t>TA,adj</m:t>
                      </m:r>
                      <m:ctrlPr>
                        <w:rPr>
                          <w:rFonts w:hint="eastAsia" w:ascii="Cambria Math" w:hAnsi="Cambria Math" w:eastAsia="Times New Roman" w:cs="Times New Roman"/>
                          <w:i/>
                          <w:sz w:val="20"/>
                          <w:szCs w:val="20"/>
                          <w:highlight w:val="yellow"/>
                          <w:lang w:val="en-GB" w:eastAsia="en-GB"/>
                        </w:rPr>
                      </m:ctrlPr>
                    </m:sub>
                    <m:sup>
                      <m:r>
                        <m:rPr>
                          <m:nor/>
                          <m:sty m:val="p"/>
                        </m:rPr>
                        <w:rPr>
                          <w:rFonts w:hint="eastAsia" w:ascii="Times New Roman" w:hAnsi="Times New Roman" w:cs="Times New Roman"/>
                          <w:b w:val="0"/>
                          <w:i w:val="0"/>
                          <w:sz w:val="20"/>
                          <w:szCs w:val="20"/>
                          <w:highlight w:val="yellow"/>
                        </w:rPr>
                        <m:t>UE</m:t>
                      </m:r>
                      <m:ctrlPr>
                        <w:rPr>
                          <w:rFonts w:hint="eastAsia" w:ascii="Cambria Math" w:hAnsi="Cambria Math" w:eastAsia="Times New Roman" w:cs="Times New Roman"/>
                          <w:i/>
                          <w:sz w:val="20"/>
                          <w:szCs w:val="20"/>
                          <w:highlight w:val="yellow"/>
                          <w:lang w:val="en-GB" w:eastAsia="en-GB"/>
                        </w:rPr>
                      </m:ctrlPr>
                    </m:sup>
                  </m:sSubSup>
                  <m:ctrlPr>
                    <w:rPr>
                      <w:rFonts w:hint="eastAsia" w:ascii="Cambria Math" w:hAnsi="Cambria Math" w:eastAsia="Times New Roman" w:cs="Times New Roman"/>
                      <w:i/>
                      <w:sz w:val="20"/>
                      <w:szCs w:val="20"/>
                      <w:highlight w:val="yellow"/>
                      <w:lang w:val="en-GB" w:eastAsia="en-GB"/>
                    </w:rPr>
                  </m:ctrlPr>
                </m:e>
              </m:d>
              <m:r>
                <m:rPr/>
                <w:rPr>
                  <w:rFonts w:hint="eastAsia" w:ascii="Cambria Math" w:hAnsi="Cambria Math" w:cs="Times New Roman"/>
                  <w:sz w:val="20"/>
                  <w:szCs w:val="20"/>
                  <w:highlight w:val="yellow"/>
                  <w:lang w:eastAsia="ko-KR"/>
                </w:rPr>
                <m:t>×</m:t>
              </m:r>
              <m:sSub>
                <m:sSubPr>
                  <m:ctrlPr>
                    <w:rPr>
                      <w:rFonts w:hint="eastAsia" w:ascii="Cambria Math" w:hAnsi="Cambria Math" w:eastAsia="Times New Roman" w:cs="Times New Roman"/>
                      <w:i/>
                      <w:sz w:val="20"/>
                      <w:szCs w:val="20"/>
                      <w:highlight w:val="yellow"/>
                      <w:lang w:val="en-GB" w:eastAsia="en-GB"/>
                    </w:rPr>
                  </m:ctrlPr>
                </m:sSubPr>
                <m:e>
                  <m:r>
                    <m:rPr/>
                    <w:rPr>
                      <w:rFonts w:hint="eastAsia" w:ascii="Cambria Math" w:hAnsi="Cambria Math" w:cs="Times New Roman"/>
                      <w:sz w:val="20"/>
                      <w:szCs w:val="20"/>
                      <w:highlight w:val="yellow"/>
                    </w:rPr>
                    <m:t>T</m:t>
                  </m:r>
                  <m:ctrlPr>
                    <w:rPr>
                      <w:rFonts w:hint="eastAsia" w:ascii="Cambria Math" w:hAnsi="Cambria Math" w:eastAsia="Times New Roman" w:cs="Times New Roman"/>
                      <w:i/>
                      <w:sz w:val="20"/>
                      <w:szCs w:val="20"/>
                      <w:highlight w:val="yellow"/>
                      <w:lang w:val="en-GB" w:eastAsia="en-GB"/>
                    </w:rPr>
                  </m:ctrlPr>
                </m:e>
                <m:sub>
                  <m:r>
                    <m:rPr>
                      <m:nor/>
                      <m:sty m:val="p"/>
                    </m:rPr>
                    <w:rPr>
                      <w:rFonts w:hint="eastAsia" w:ascii="Times New Roman" w:hAnsi="Times New Roman" w:cs="Times New Roman"/>
                      <w:b w:val="0"/>
                      <w:i w:val="0"/>
                      <w:sz w:val="20"/>
                      <w:szCs w:val="20"/>
                      <w:highlight w:val="yellow"/>
                    </w:rPr>
                    <m:t>c</m:t>
                  </m:r>
                  <m:ctrlPr>
                    <w:rPr>
                      <w:rFonts w:hint="eastAsia" w:ascii="Cambria Math" w:hAnsi="Cambria Math" w:eastAsia="Times New Roman" w:cs="Times New Roman"/>
                      <w:i/>
                      <w:sz w:val="20"/>
                      <w:szCs w:val="20"/>
                      <w:highlight w:val="yellow"/>
                      <w:lang w:val="en-GB" w:eastAsia="en-GB"/>
                    </w:rPr>
                  </m:ctrlPr>
                </m:sub>
              </m:sSub>
            </m:oMath>
            <w:r>
              <w:rPr>
                <w:rFonts w:hint="eastAsia" w:ascii="Times New Roman" w:hAnsi="Times New Roman" w:eastAsia="宋体" w:cs="Times New Roman"/>
                <w:sz w:val="20"/>
                <w:szCs w:val="20"/>
              </w:rPr>
              <w:t xml:space="preserve"> before the reception of the first detected path (in time) of the corresponding downlink frame from the reference cell. UE initial transmit timing accuracy and gradual timing adjustment requirements are defined in the following requirements.</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default" w:eastAsia="宋体" w:cs="Times New Roman"/>
          <w:sz w:val="20"/>
          <w:szCs w:val="20"/>
          <w:lang w:val="en-US" w:eastAsia="zh-CN"/>
        </w:rPr>
        <w:t xml:space="preserve"> </w:t>
      </w:r>
      <w:r>
        <w:rPr>
          <w:rFonts w:hint="eastAsia" w:eastAsia="宋体" w:cs="Times New Roman"/>
          <w:sz w:val="20"/>
          <w:szCs w:val="20"/>
          <w:lang w:val="en-US" w:eastAsia="zh-CN"/>
        </w:rPr>
        <w:t>In legacy, the detailed timing analysis can be seen as below:</w:t>
      </w:r>
    </w:p>
    <w:p>
      <w:pPr>
        <w:keepNext w:val="0"/>
        <w:keepLines w:val="0"/>
        <w:widowControl/>
        <w:suppressLineNumbers w:val="0"/>
        <w:jc w:val="center"/>
      </w:pPr>
      <w:r>
        <w:rPr>
          <w:rFonts w:ascii="宋体" w:hAnsi="宋体" w:eastAsia="宋体" w:cs="宋体"/>
          <w:kern w:val="0"/>
          <w:sz w:val="24"/>
          <w:szCs w:val="24"/>
          <w:lang w:val="en-US" w:eastAsia="zh-CN" w:bidi="ar"/>
        </w:rPr>
        <w:drawing>
          <wp:inline distT="0" distB="0" distL="114300" distR="114300">
            <wp:extent cx="4799965" cy="1941830"/>
            <wp:effectExtent l="0" t="0" r="0" b="8890"/>
            <wp:docPr id="4"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IMG_256"/>
                    <pic:cNvPicPr>
                      <a:picLocks noChangeAspect="1"/>
                    </pic:cNvPicPr>
                  </pic:nvPicPr>
                  <pic:blipFill>
                    <a:blip r:embed="rId9"/>
                    <a:stretch>
                      <a:fillRect/>
                    </a:stretch>
                  </pic:blipFill>
                  <pic:spPr>
                    <a:xfrm>
                      <a:off x="0" y="0"/>
                      <a:ext cx="4799965" cy="1941830"/>
                    </a:xfrm>
                    <a:prstGeom prst="rect">
                      <a:avLst/>
                    </a:prstGeom>
                    <a:noFill/>
                    <a:ln w="9525">
                      <a:noFill/>
                    </a:ln>
                  </pic:spPr>
                </pic:pic>
              </a:graphicData>
            </a:graphic>
          </wp:inline>
        </w:drawing>
      </w:r>
    </w:p>
    <w:p>
      <w:pPr>
        <w:overflowPunct w:val="0"/>
        <w:autoSpaceDE w:val="0"/>
        <w:autoSpaceDN w:val="0"/>
        <w:adjustRightInd w:val="0"/>
        <w:spacing w:before="120" w:after="120" w:line="360" w:lineRule="auto"/>
        <w:jc w:val="center"/>
        <w:textAlignment w:val="baseline"/>
        <w:rPr>
          <w:rFonts w:hint="default" w:eastAsia="宋体"/>
          <w:lang w:val="en-US" w:eastAsia="zh-CN"/>
        </w:rPr>
      </w:pPr>
      <w:r>
        <w:rPr>
          <w:rFonts w:hint="eastAsia" w:eastAsia="宋体"/>
          <w:lang w:val="en-US" w:eastAsia="zh-CN"/>
        </w:rPr>
        <w:t>Figure 3 Timing of transparent payload</w:t>
      </w:r>
    </w:p>
    <w:p>
      <w:pPr>
        <w:overflowPunct w:val="0"/>
        <w:autoSpaceDE w:val="0"/>
        <w:autoSpaceDN w:val="0"/>
        <w:adjustRightInd w:val="0"/>
        <w:spacing w:before="120" w:after="120" w:line="360" w:lineRule="auto"/>
        <w:jc w:val="both"/>
        <w:textAlignment w:val="baseline"/>
        <w:rPr>
          <w:rFonts w:hint="default" w:eastAsia="宋体"/>
          <w:sz w:val="22"/>
          <w:lang w:val="en-US" w:eastAsia="zh-CN"/>
        </w:rPr>
      </w:pPr>
      <w:r>
        <w:rPr>
          <w:rFonts w:hint="eastAsia" w:eastAsia="宋体"/>
          <w:sz w:val="22"/>
          <w:lang w:val="en-US" w:eastAsia="zh-CN"/>
        </w:rPr>
        <w:t>N</w:t>
      </w:r>
      <w:r>
        <w:rPr>
          <w:rFonts w:hint="eastAsia" w:eastAsia="宋体"/>
          <w:sz w:val="22"/>
          <w:vertAlign w:val="subscript"/>
          <w:lang w:val="en-US" w:eastAsia="zh-CN"/>
        </w:rPr>
        <w:t>TA</w:t>
      </w:r>
      <w:r>
        <w:rPr>
          <w:rFonts w:hint="eastAsia" w:eastAsia="宋体"/>
          <w:sz w:val="22"/>
          <w:lang w:val="en-US" w:eastAsia="zh-CN"/>
        </w:rPr>
        <w:t xml:space="preserve">: </w:t>
      </w:r>
      <w:r>
        <w:rPr>
          <w:rFonts w:hint="eastAsia" w:eastAsia="宋体" w:cs="Times New Roman"/>
          <w:sz w:val="20"/>
          <w:szCs w:val="20"/>
          <w:lang w:val="en-US" w:eastAsia="zh-CN"/>
        </w:rPr>
        <w:t>The value NTA of timing advance is indicated in Msg2 which is the timing adjustment be network.</w:t>
      </w:r>
    </w:p>
    <w:p>
      <w:pPr>
        <w:overflowPunct w:val="0"/>
        <w:autoSpaceDE w:val="0"/>
        <w:autoSpaceDN w:val="0"/>
        <w:adjustRightInd w:val="0"/>
        <w:spacing w:before="120" w:after="120" w:line="360" w:lineRule="auto"/>
        <w:jc w:val="both"/>
        <w:textAlignment w:val="baseline"/>
        <w:rPr>
          <w:rFonts w:hint="default" w:eastAsia="宋体"/>
          <w:sz w:val="22"/>
          <w:lang w:val="en-US" w:eastAsia="zh-CN"/>
        </w:rPr>
      </w:pPr>
      <w:r>
        <w:rPr>
          <w:rFonts w:hint="eastAsia" w:eastAsia="宋体"/>
          <w:sz w:val="22"/>
          <w:lang w:val="en-US" w:eastAsia="zh-CN"/>
        </w:rPr>
        <w:t>N</w:t>
      </w:r>
      <w:r>
        <w:rPr>
          <w:rFonts w:hint="eastAsia" w:eastAsia="宋体"/>
          <w:sz w:val="22"/>
          <w:vertAlign w:val="subscript"/>
          <w:lang w:val="en-US" w:eastAsia="zh-CN"/>
        </w:rPr>
        <w:t>TA-offset</w:t>
      </w:r>
      <w:r>
        <w:rPr>
          <w:rFonts w:hint="eastAsia" w:eastAsia="宋体"/>
          <w:sz w:val="22"/>
          <w:lang w:val="en-US" w:eastAsia="zh-CN"/>
        </w:rPr>
        <w:t xml:space="preserve">: </w:t>
      </w:r>
      <w:r>
        <w:rPr>
          <w:rFonts w:hint="eastAsia" w:eastAsia="宋体" w:cs="Times New Roman"/>
          <w:sz w:val="20"/>
          <w:szCs w:val="20"/>
          <w:lang w:val="en-US" w:eastAsia="zh-CN"/>
        </w:rPr>
        <w:t>A UE can be provided a value NTA-offset of timing advance offset for a serving cell.</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m:oMath>
        <m:sSubSup>
          <m:sSubSupPr>
            <m:ctrlPr>
              <w:rPr>
                <w:rFonts w:ascii="Cambria Math" w:hAnsi="Cambria Math" w:eastAsia="Times New Roman" w:cs="Times New Roman"/>
                <w:i/>
                <w:highlight w:val="none"/>
                <w:lang w:val="en-GB" w:eastAsia="en-GB"/>
              </w:rPr>
            </m:ctrlPr>
          </m:sSubSupPr>
          <m:e>
            <m:r>
              <m:rPr/>
              <w:rPr>
                <w:rFonts w:ascii="Cambria Math" w:hAnsi="Cambria Math" w:cs="Times New Roman"/>
                <w:highlight w:val="none"/>
              </w:rPr>
              <m:t>N</m:t>
            </m:r>
            <m:ctrlPr>
              <w:rPr>
                <w:rFonts w:ascii="Cambria Math" w:hAnsi="Cambria Math" w:eastAsia="Times New Roman" w:cs="Times New Roman"/>
                <w:i/>
                <w:highlight w:val="none"/>
                <w:lang w:val="en-GB" w:eastAsia="en-GB"/>
              </w:rPr>
            </m:ctrlPr>
          </m:e>
          <m:sub>
            <m:r>
              <m:rPr>
                <m:nor/>
                <m:sty m:val="p"/>
              </m:rPr>
              <w:rPr>
                <w:rFonts w:ascii="Cambria Math" w:hAnsi="Cambria Math" w:cs="Times New Roman"/>
                <w:b w:val="0"/>
                <w:i w:val="0"/>
                <w:highlight w:val="none"/>
              </w:rPr>
              <m:t>TA,adj</m:t>
            </m:r>
            <m:ctrlPr>
              <w:rPr>
                <w:rFonts w:ascii="Cambria Math" w:hAnsi="Cambria Math" w:eastAsia="Times New Roman" w:cs="Times New Roman"/>
                <w:i/>
                <w:highlight w:val="none"/>
                <w:lang w:val="en-GB" w:eastAsia="en-GB"/>
              </w:rPr>
            </m:ctrlPr>
          </m:sub>
          <m:sup>
            <m:r>
              <m:rPr>
                <m:nor/>
                <m:sty m:val="p"/>
              </m:rPr>
              <w:rPr>
                <w:rFonts w:ascii="Cambria Math" w:hAnsi="Cambria Math" w:cs="Times New Roman"/>
                <w:b w:val="0"/>
                <w:i w:val="0"/>
                <w:highlight w:val="none"/>
              </w:rPr>
              <m:t>common</m:t>
            </m:r>
            <m:ctrlPr>
              <w:rPr>
                <w:rFonts w:ascii="Cambria Math" w:hAnsi="Cambria Math" w:eastAsia="Times New Roman" w:cs="Times New Roman"/>
                <w:i/>
                <w:highlight w:val="none"/>
                <w:lang w:val="en-GB" w:eastAsia="en-GB"/>
              </w:rPr>
            </m:ctrlPr>
          </m:sup>
        </m:sSubSup>
      </m:oMath>
      <w:r>
        <w:rPr>
          <w:rFonts w:hint="eastAsia" w:eastAsia="宋体"/>
          <w:sz w:val="22"/>
          <w:highlight w:val="none"/>
          <w:lang w:val="en-US" w:eastAsia="zh-CN"/>
        </w:rPr>
        <w:t xml:space="preserve">: </w:t>
      </w:r>
      <w:r>
        <w:rPr>
          <w:rFonts w:hint="eastAsia" w:eastAsia="宋体" w:cs="Times New Roman"/>
          <w:sz w:val="20"/>
          <w:szCs w:val="20"/>
          <w:lang w:val="en-US" w:eastAsia="zh-CN"/>
        </w:rPr>
        <w:t xml:space="preserve">It is derived from the higher-layer parameters contained assistance information for the serving cell. It is the </w:t>
      </w:r>
      <w:r>
        <w:rPr>
          <w:rFonts w:hint="eastAsia" w:eastAsia="宋体" w:cs="Times New Roman"/>
          <w:sz w:val="20"/>
          <w:szCs w:val="20"/>
          <w:lang w:val="en-US" w:eastAsia="zh-CN"/>
        </w:rPr>
        <w:tab/>
      </w:r>
      <w:r>
        <w:rPr>
          <w:rFonts w:hint="eastAsia" w:eastAsia="宋体" w:cs="Times New Roman"/>
          <w:sz w:val="20"/>
          <w:szCs w:val="20"/>
          <w:lang w:val="en-US" w:eastAsia="zh-CN"/>
        </w:rPr>
        <w:tab/>
      </w:r>
      <w:r>
        <w:rPr>
          <w:rFonts w:hint="eastAsia" w:eastAsia="宋体" w:cs="Times New Roman"/>
          <w:sz w:val="20"/>
          <w:szCs w:val="20"/>
          <w:lang w:val="en-US" w:eastAsia="zh-CN"/>
        </w:rPr>
        <w:tab/>
      </w:r>
      <w:r>
        <w:rPr>
          <w:rFonts w:hint="eastAsia" w:eastAsia="宋体" w:cs="Times New Roman"/>
          <w:sz w:val="20"/>
          <w:szCs w:val="20"/>
          <w:lang w:val="en-US" w:eastAsia="zh-CN"/>
        </w:rPr>
        <w:t>network-controlled common timing advanced value between reference point and satellite on feeder link.</w:t>
      </w:r>
    </w:p>
    <w:p>
      <w:pPr>
        <w:overflowPunct w:val="0"/>
        <w:autoSpaceDE w:val="0"/>
        <w:autoSpaceDN w:val="0"/>
        <w:adjustRightInd w:val="0"/>
        <w:spacing w:before="120" w:after="120" w:line="360" w:lineRule="auto"/>
        <w:jc w:val="both"/>
        <w:textAlignment w:val="baseline"/>
        <w:rPr>
          <w:rFonts w:hint="default" w:eastAsia="宋体"/>
          <w:sz w:val="22"/>
          <w:lang w:val="en-US" w:eastAsia="zh-CN"/>
        </w:rPr>
      </w:pPr>
      <m:oMath>
        <m:sSubSup>
          <m:sSubSupPr>
            <m:ctrlPr>
              <w:rPr>
                <w:rFonts w:ascii="Cambria Math" w:hAnsi="Cambria Math" w:eastAsia="Times New Roman" w:cs="Times New Roman"/>
                <w:i/>
                <w:highlight w:val="none"/>
                <w:lang w:val="en-GB" w:eastAsia="en-GB"/>
              </w:rPr>
            </m:ctrlPr>
          </m:sSubSupPr>
          <m:e>
            <m:r>
              <m:rPr/>
              <w:rPr>
                <w:rFonts w:ascii="Cambria Math" w:hAnsi="Cambria Math" w:cs="Times New Roman"/>
                <w:highlight w:val="none"/>
              </w:rPr>
              <m:t>N</m:t>
            </m:r>
            <m:ctrlPr>
              <w:rPr>
                <w:rFonts w:ascii="Cambria Math" w:hAnsi="Cambria Math" w:eastAsia="Times New Roman" w:cs="Times New Roman"/>
                <w:i/>
                <w:highlight w:val="none"/>
                <w:lang w:val="en-GB" w:eastAsia="en-GB"/>
              </w:rPr>
            </m:ctrlPr>
          </m:e>
          <m:sub>
            <m:r>
              <m:rPr>
                <m:nor/>
                <m:sty m:val="p"/>
              </m:rPr>
              <w:rPr>
                <w:rFonts w:ascii="Cambria Math" w:hAnsi="Cambria Math" w:cs="Times New Roman"/>
                <w:b w:val="0"/>
                <w:i w:val="0"/>
                <w:highlight w:val="none"/>
              </w:rPr>
              <m:t>TA,adj</m:t>
            </m:r>
            <m:ctrlPr>
              <w:rPr>
                <w:rFonts w:ascii="Cambria Math" w:hAnsi="Cambria Math" w:eastAsia="Times New Roman" w:cs="Times New Roman"/>
                <w:i/>
                <w:highlight w:val="none"/>
                <w:lang w:val="en-GB" w:eastAsia="en-GB"/>
              </w:rPr>
            </m:ctrlPr>
          </m:sub>
          <m:sup>
            <m:r>
              <m:rPr>
                <m:nor/>
                <m:sty m:val="p"/>
              </m:rPr>
              <w:rPr>
                <w:rFonts w:ascii="Cambria Math" w:hAnsi="Cambria Math" w:cs="Times New Roman"/>
                <w:b w:val="0"/>
                <w:i w:val="0"/>
                <w:highlight w:val="none"/>
              </w:rPr>
              <m:t>UE</m:t>
            </m:r>
            <m:ctrlPr>
              <w:rPr>
                <w:rFonts w:ascii="Cambria Math" w:hAnsi="Cambria Math" w:eastAsia="Times New Roman" w:cs="Times New Roman"/>
                <w:i/>
                <w:highlight w:val="none"/>
                <w:lang w:val="en-GB" w:eastAsia="en-GB"/>
              </w:rPr>
            </m:ctrlPr>
          </m:sup>
        </m:sSubSup>
      </m:oMath>
      <w:r>
        <w:rPr>
          <w:rFonts w:hint="eastAsia" w:eastAsia="宋体"/>
          <w:sz w:val="22"/>
          <w:highlight w:val="none"/>
          <w:lang w:val="en-US" w:eastAsia="zh-CN"/>
        </w:rPr>
        <w:t xml:space="preserve">: </w:t>
      </w:r>
      <w:r>
        <w:rPr>
          <w:rFonts w:eastAsiaTheme="minorEastAsia"/>
        </w:rPr>
        <w:t>UE determines it by using the serving satellite position and its own position</w:t>
      </w:r>
      <w:r>
        <w:rPr>
          <w:rFonts w:hint="eastAsia" w:eastAsiaTheme="minorEastAsia"/>
          <w:lang w:val="en-US" w:eastAsia="zh-CN"/>
        </w:rPr>
        <w:t xml:space="preserve"> (GNSS capability)</w:t>
      </w:r>
      <w:r>
        <w:rPr>
          <w:rFonts w:eastAsiaTheme="minorEastAsia"/>
        </w:rPr>
        <w:t xml:space="preserve"> on service link. </w:t>
      </w:r>
      <w:r>
        <w:rPr>
          <w:rFonts w:hint="eastAsia" w:eastAsiaTheme="minorEastAsia"/>
          <w:lang w:val="en-US" w:eastAsia="zh-CN"/>
        </w:rPr>
        <w:tab/>
      </w:r>
      <w:r>
        <w:rPr>
          <w:rFonts w:hint="eastAsia" w:eastAsiaTheme="minorEastAsia"/>
          <w:lang w:val="en-US" w:eastAsia="zh-CN"/>
        </w:rPr>
        <w:tab/>
      </w:r>
      <w:r>
        <w:rPr>
          <w:rFonts w:hint="eastAsia" w:eastAsiaTheme="minorEastAsia"/>
          <w:lang w:val="en-US" w:eastAsia="zh-CN"/>
        </w:rPr>
        <w:tab/>
      </w:r>
      <w:r>
        <w:rPr>
          <w:rFonts w:eastAsiaTheme="minorEastAsia"/>
        </w:rPr>
        <w:t>For the serving satellite position, it is calculated by UE based on higher-layer ephemeris parameters for a serving satellite</w:t>
      </w:r>
    </w:p>
    <w:p>
      <w:pPr>
        <w:overflowPunct w:val="0"/>
        <w:autoSpaceDE w:val="0"/>
        <w:autoSpaceDN w:val="0"/>
        <w:adjustRightInd w:val="0"/>
        <w:spacing w:before="120" w:after="120" w:line="360" w:lineRule="auto"/>
        <w:jc w:val="both"/>
        <w:textAlignment w:val="baseline"/>
        <w:rPr>
          <w:rFonts w:hint="default" w:eastAsia="宋体"/>
          <w:sz w:val="22"/>
          <w:lang w:val="en-US" w:eastAsia="zh-CN"/>
        </w:rPr>
      </w:pPr>
      <w:r>
        <w:rPr>
          <w:rFonts w:hint="eastAsia" w:eastAsia="宋体"/>
          <w:sz w:val="22"/>
          <w:lang w:val="en-US" w:eastAsia="zh-CN"/>
        </w:rPr>
        <w:t>K</w:t>
      </w:r>
      <w:r>
        <w:rPr>
          <w:rFonts w:hint="eastAsia" w:eastAsia="宋体"/>
          <w:sz w:val="22"/>
          <w:vertAlign w:val="subscript"/>
          <w:lang w:val="en-US" w:eastAsia="zh-CN"/>
        </w:rPr>
        <w:t>MAC</w:t>
      </w:r>
      <w:r>
        <w:rPr>
          <w:rFonts w:hint="eastAsia" w:eastAsia="宋体"/>
          <w:sz w:val="22"/>
          <w:lang w:val="en-US" w:eastAsia="zh-CN"/>
        </w:rPr>
        <w:t xml:space="preserve">:  There is a misalignment between the uplink and downlink frames of the gNB, a scheduling time </w:t>
      </w:r>
      <w:r>
        <w:rPr>
          <w:rFonts w:hint="eastAsia" w:eastAsia="宋体"/>
          <w:sz w:val="22"/>
          <w:lang w:val="en-US" w:eastAsia="zh-CN"/>
        </w:rPr>
        <w:tab/>
      </w:r>
      <w:r>
        <w:rPr>
          <w:rFonts w:hint="eastAsia" w:eastAsia="宋体"/>
          <w:sz w:val="22"/>
          <w:lang w:val="en-US" w:eastAsia="zh-CN"/>
        </w:rPr>
        <w:tab/>
      </w:r>
      <w:r>
        <w:rPr>
          <w:rFonts w:hint="eastAsia" w:eastAsia="宋体"/>
          <w:sz w:val="22"/>
          <w:lang w:val="en-US" w:eastAsia="zh-CN"/>
        </w:rPr>
        <w:tab/>
      </w:r>
      <w:r>
        <w:rPr>
          <w:rFonts w:hint="eastAsia" w:eastAsia="宋体"/>
          <w:sz w:val="22"/>
          <w:lang w:val="en-US" w:eastAsia="zh-CN"/>
        </w:rPr>
        <w:tab/>
      </w:r>
      <w:r>
        <w:rPr>
          <w:rFonts w:hint="eastAsia" w:eastAsia="宋体"/>
          <w:sz w:val="22"/>
          <w:lang w:val="en-US" w:eastAsia="zh-CN"/>
        </w:rPr>
        <w:t>offset (configured offset) is introduced.</w:t>
      </w:r>
    </w:p>
    <w:p>
      <w:pPr>
        <w:overflowPunct w:val="0"/>
        <w:autoSpaceDE w:val="0"/>
        <w:autoSpaceDN w:val="0"/>
        <w:adjustRightInd w:val="0"/>
        <w:spacing w:before="120" w:after="120" w:line="360" w:lineRule="auto"/>
        <w:jc w:val="both"/>
        <w:textAlignment w:val="baseline"/>
        <w:rPr>
          <w:rFonts w:hint="eastAsia" w:eastAsia="宋体"/>
          <w:sz w:val="22"/>
          <w:lang w:val="en-US" w:eastAsia="zh-CN"/>
        </w:rPr>
      </w:pPr>
      <w:r>
        <w:rPr>
          <w:rFonts w:hint="eastAsia" w:eastAsia="宋体"/>
          <w:sz w:val="22"/>
          <w:lang w:val="en-US" w:eastAsia="zh-CN"/>
        </w:rPr>
        <w:t>K</w:t>
      </w:r>
      <w:r>
        <w:rPr>
          <w:rFonts w:hint="eastAsia" w:eastAsia="宋体"/>
          <w:sz w:val="22"/>
          <w:vertAlign w:val="subscript"/>
          <w:lang w:val="en-US" w:eastAsia="zh-CN"/>
        </w:rPr>
        <w:t>offset</w:t>
      </w:r>
      <w:r>
        <w:rPr>
          <w:rFonts w:hint="eastAsia" w:eastAsia="宋体"/>
          <w:sz w:val="22"/>
          <w:lang w:val="en-US" w:eastAsia="zh-CN"/>
        </w:rPr>
        <w:t>: It is a configured scheduling offset.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default" w:eastAsia="宋体" w:cs="Times New Roman"/>
          <w:sz w:val="20"/>
          <w:szCs w:val="20"/>
          <w:lang w:val="en-US" w:eastAsia="zh-CN"/>
        </w:rPr>
        <w:t xml:space="preserve">For the uplink transmission in the aforementioned </w:t>
      </w:r>
      <w:r>
        <w:rPr>
          <w:rFonts w:hint="eastAsia" w:eastAsia="宋体" w:cs="Times New Roman"/>
          <w:sz w:val="20"/>
          <w:szCs w:val="20"/>
          <w:lang w:val="en-US" w:eastAsia="zh-CN"/>
        </w:rPr>
        <w:t xml:space="preserve">highlight </w:t>
      </w:r>
      <w:r>
        <w:rPr>
          <w:rFonts w:hint="default" w:eastAsia="宋体" w:cs="Times New Roman"/>
          <w:sz w:val="20"/>
          <w:szCs w:val="20"/>
          <w:lang w:val="en-US" w:eastAsia="zh-CN"/>
        </w:rPr>
        <w:t xml:space="preserve">formula, the first three parameters are indicated to the UE by the network, while the last parameter is for the UE's own uplink compensation. For the third parameter, it equals zero in the </w:t>
      </w:r>
      <w:r>
        <w:rPr>
          <w:rFonts w:hint="eastAsia" w:eastAsia="宋体" w:cs="Times New Roman"/>
          <w:sz w:val="20"/>
          <w:szCs w:val="20"/>
          <w:lang w:val="en-US" w:eastAsia="zh-CN"/>
        </w:rPr>
        <w:t>regenerative</w:t>
      </w:r>
      <w:r>
        <w:rPr>
          <w:rFonts w:hint="default" w:eastAsia="宋体" w:cs="Times New Roman"/>
          <w:sz w:val="20"/>
          <w:szCs w:val="20"/>
          <w:lang w:val="en-US" w:eastAsia="zh-CN"/>
        </w:rPr>
        <w:t xml:space="preserve"> mode.</w:t>
      </w:r>
      <w:r>
        <w:rPr>
          <w:rFonts w:hint="eastAsia" w:eastAsia="宋体" w:cs="Times New Roman"/>
          <w:sz w:val="20"/>
          <w:szCs w:val="20"/>
          <w:lang w:val="en-US" w:eastAsia="zh-CN"/>
        </w:rPr>
        <w:t xml:space="preserve"> Based on figure 3, KMAC is also be zero. And RAN2 also has the same understanding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overflowPunct w:val="0"/>
              <w:autoSpaceDE w:val="0"/>
              <w:autoSpaceDN w:val="0"/>
              <w:adjustRightInd w:val="0"/>
              <w:spacing w:before="120" w:beforeAutospacing="0" w:after="120" w:afterAutospacing="0" w:line="360" w:lineRule="auto"/>
              <w:ind w:left="0" w:right="0"/>
              <w:jc w:val="both"/>
              <w:textAlignment w:val="baseline"/>
              <w:rPr>
                <w:rFonts w:hint="default" w:eastAsia="宋体"/>
                <w:sz w:val="22"/>
                <w:szCs w:val="20"/>
                <w:vertAlign w:val="baseline"/>
                <w:lang w:val="en-US" w:eastAsia="zh-CN"/>
              </w:rPr>
            </w:pPr>
            <w:r>
              <w:rPr>
                <w:rFonts w:hint="default"/>
                <w:sz w:val="20"/>
                <w:szCs w:val="20"/>
                <w:highlight w:val="none"/>
                <w:lang w:val="en-US" w:eastAsia="zh-CN"/>
              </w:rPr>
              <w:t>RAN2 assumes that the typical setting for common TA and kmac would be zero in case of regenerative mode with full gNB on board. FF</w:t>
            </w:r>
            <w:r>
              <w:rPr>
                <w:rFonts w:hint="default"/>
                <w:sz w:val="20"/>
                <w:szCs w:val="20"/>
                <w:lang w:val="en-US" w:eastAsia="zh-CN"/>
              </w:rPr>
              <w:t>S whether we capture in the spec that common TA and Kmac shall/should be set to zero.</w:t>
            </w:r>
          </w:p>
        </w:tc>
      </w:tr>
    </w:tbl>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sz w:val="20"/>
          <w:szCs w:val="20"/>
          <w:lang w:val="en-US" w:eastAsia="zh-CN"/>
        </w:rPr>
      </w:pPr>
      <w:r>
        <w:rPr>
          <w:rFonts w:hint="default" w:eastAsia="宋体" w:cs="Times New Roman"/>
          <w:sz w:val="20"/>
          <w:szCs w:val="20"/>
          <w:lang w:val="en-US" w:eastAsia="zh-CN"/>
        </w:rPr>
        <w:t>Regarding Te, we still need to consider the relevant issue in the re</w:t>
      </w:r>
      <w:r>
        <w:rPr>
          <w:rFonts w:hint="eastAsia" w:eastAsia="宋体" w:cs="Times New Roman"/>
          <w:sz w:val="20"/>
          <w:szCs w:val="20"/>
          <w:lang w:val="en-US" w:eastAsia="zh-CN"/>
        </w:rPr>
        <w:t>generative</w:t>
      </w:r>
      <w:r>
        <w:rPr>
          <w:rFonts w:hint="default" w:eastAsia="宋体" w:cs="Times New Roman"/>
          <w:sz w:val="20"/>
          <w:szCs w:val="20"/>
          <w:lang w:val="en-US" w:eastAsia="zh-CN"/>
        </w:rPr>
        <w:t xml:space="preserve"> mode—the gradual timing adjustment and timing advance adjustment accuracy. </w:t>
      </w:r>
      <w:r>
        <w:rPr>
          <w:rFonts w:hint="eastAsia" w:eastAsia="宋体" w:cs="Times New Roman"/>
          <w:sz w:val="20"/>
          <w:szCs w:val="20"/>
          <w:lang w:val="en-US" w:eastAsia="zh-CN"/>
        </w:rPr>
        <w:t>We</w:t>
      </w:r>
      <w:r>
        <w:rPr>
          <w:rFonts w:hint="default" w:eastAsia="宋体" w:cs="Times New Roman"/>
          <w:sz w:val="20"/>
          <w:szCs w:val="20"/>
          <w:lang w:val="en-US" w:eastAsia="zh-CN"/>
        </w:rPr>
        <w:t xml:space="preserve"> understand that these have little impact, and they can be defined based on the understanding of the UE's uplink timing compensation behavior.</w:t>
      </w:r>
      <w:r>
        <w:rPr>
          <w:rFonts w:hint="eastAsia" w:eastAsia="宋体" w:cs="Times New Roman"/>
          <w:sz w:val="20"/>
          <w:szCs w:val="20"/>
          <w:lang w:val="en-US" w:eastAsia="zh-CN"/>
        </w:rPr>
        <w:t xml:space="preserve"> </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6: Compared to transparent payload, the reference point is only on payload not on the feeder link, where the common TA and K</w:t>
      </w:r>
      <w:r>
        <w:rPr>
          <w:rFonts w:hint="eastAsia" w:eastAsia="宋体"/>
          <w:b/>
          <w:bCs/>
          <w:sz w:val="22"/>
          <w:vertAlign w:val="subscript"/>
          <w:lang w:val="en-US" w:eastAsia="zh-CN"/>
        </w:rPr>
        <w:t>MAC</w:t>
      </w:r>
      <w:r>
        <w:rPr>
          <w:rFonts w:hint="eastAsia" w:eastAsia="宋体"/>
          <w:b/>
          <w:bCs/>
          <w:sz w:val="22"/>
          <w:lang w:val="en-US" w:eastAsia="zh-CN"/>
        </w:rPr>
        <w:t xml:space="preserve"> is 0.</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Proposal 9: RAN4 shall clarify that there is no difference between transparent payload and regenerative payload on timing advance.</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NTN enhancement phase 3</w:t>
      </w:r>
      <w:r>
        <w:rPr>
          <w:rFonts w:eastAsia="宋体"/>
          <w:lang w:eastAsia="zh-CN"/>
        </w:rPr>
        <w:t>.</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Observation 1: The SSB periodicity shall be extended in order to enhance the downlink coverage and RAN1/RAN2 are under discussion.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Observation 2: Some RRM requirements will be impacted if the SSB periodicity is extended since the cell re-selection and L1/L3 measurements are based on SSB signal.</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Proposal 1: Some RRM requirements shall be updated if RAN1/RAN2 have the concrete conclusions on SSB periodicity extension.</w:t>
      </w:r>
    </w:p>
    <w:p>
      <w:r>
        <w:rPr>
          <w:rFonts w:hint="eastAsia" w:eastAsia="宋体" w:cs="Times New Roman"/>
          <w:b/>
          <w:bCs/>
          <w:sz w:val="22"/>
          <w:lang w:val="en-US" w:eastAsia="zh-CN"/>
        </w:rPr>
        <w:t>Proposal 2: Timing requirements shall be revisited if the SSB periodicity is extended.</w:t>
      </w:r>
    </w:p>
    <w:p>
      <w:r>
        <w:rPr>
          <w:rFonts w:hint="eastAsia" w:eastAsia="宋体" w:cs="Times New Roman"/>
          <w:b/>
          <w:bCs/>
          <w:sz w:val="20"/>
          <w:szCs w:val="20"/>
          <w:lang w:val="en-US" w:eastAsia="zh-CN"/>
        </w:rPr>
        <w:t>Proposal 3: For cell specific DTX/DRX, RAN4 shall wait for other WGs</w:t>
      </w:r>
      <w:r>
        <w:rPr>
          <w:rFonts w:hint="default" w:eastAsia="宋体" w:cs="Times New Roman"/>
          <w:b/>
          <w:bCs/>
          <w:sz w:val="20"/>
          <w:szCs w:val="20"/>
          <w:lang w:val="en-US" w:eastAsia="zh-CN"/>
        </w:rPr>
        <w:t>’</w:t>
      </w:r>
      <w:r>
        <w:rPr>
          <w:rFonts w:hint="eastAsia" w:eastAsia="宋体" w:cs="Times New Roman"/>
          <w:b/>
          <w:bCs/>
          <w:sz w:val="20"/>
          <w:szCs w:val="20"/>
          <w:lang w:val="en-US" w:eastAsia="zh-CN"/>
        </w:rPr>
        <w:t xml:space="preserve"> conclusion.</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eastAsia" w:eastAsia="宋体" w:cs="Times New Roman"/>
          <w:b/>
          <w:bCs/>
          <w:sz w:val="22"/>
          <w:lang w:val="en-US" w:eastAsia="zh-CN"/>
        </w:rPr>
      </w:pPr>
      <w:r>
        <w:rPr>
          <w:rFonts w:hint="eastAsia" w:eastAsia="宋体" w:cs="Times New Roman"/>
          <w:b/>
          <w:bCs/>
          <w:sz w:val="22"/>
          <w:lang w:val="en-US" w:eastAsia="zh-CN"/>
        </w:rPr>
        <w:t xml:space="preserve">Observation 3: N1 beam footprints are in state </w:t>
      </w:r>
      <w:r>
        <w:rPr>
          <w:rFonts w:hint="default" w:eastAsia="宋体" w:cs="Times New Roman"/>
          <w:b/>
          <w:bCs/>
          <w:sz w:val="22"/>
          <w:lang w:val="en-US" w:eastAsia="zh-CN"/>
        </w:rPr>
        <w:t>“</w:t>
      </w:r>
      <w:r>
        <w:rPr>
          <w:rFonts w:hint="eastAsia" w:eastAsia="宋体" w:cs="Times New Roman"/>
          <w:b/>
          <w:bCs/>
          <w:sz w:val="22"/>
          <w:lang w:val="en-US" w:eastAsia="zh-CN"/>
        </w:rPr>
        <w:t>off</w:t>
      </w:r>
      <w:r>
        <w:rPr>
          <w:rFonts w:hint="default" w:eastAsia="宋体" w:cs="Times New Roman"/>
          <w:b/>
          <w:bCs/>
          <w:sz w:val="22"/>
          <w:lang w:val="en-US" w:eastAsia="zh-CN"/>
        </w:rPr>
        <w:t>”</w:t>
      </w:r>
      <w:r>
        <w:rPr>
          <w:rFonts w:hint="eastAsia" w:eastAsia="宋体" w:cs="Times New Roman"/>
          <w:b/>
          <w:bCs/>
          <w:sz w:val="22"/>
          <w:lang w:val="en-US" w:eastAsia="zh-CN"/>
        </w:rPr>
        <w:t xml:space="preserve"> which means NTN service is not-available and UE will not receive any downlink signals including SSB and  CSI-RS.</w:t>
      </w:r>
    </w:p>
    <w:p>
      <w:pPr>
        <w:keepNext w:val="0"/>
        <w:keepLines w:val="0"/>
        <w:pageBreakBefore w:val="0"/>
        <w:widowControl/>
        <w:kinsoku/>
        <w:wordWrap/>
        <w:overflowPunct w:val="0"/>
        <w:topLinePunct w:val="0"/>
        <w:autoSpaceDE w:val="0"/>
        <w:autoSpaceDN w:val="0"/>
        <w:bidi w:val="0"/>
        <w:adjustRightInd w:val="0"/>
        <w:snapToGrid/>
        <w:spacing w:before="120" w:after="120" w:line="240" w:lineRule="auto"/>
        <w:jc w:val="both"/>
        <w:textAlignment w:val="baseline"/>
        <w:rPr>
          <w:rFonts w:hint="default" w:eastAsia="宋体" w:cs="Times New Roman"/>
          <w:b/>
          <w:bCs/>
          <w:sz w:val="22"/>
          <w:lang w:val="en-US" w:eastAsia="zh-CN"/>
        </w:rPr>
      </w:pPr>
      <w:r>
        <w:rPr>
          <w:rFonts w:hint="eastAsia" w:eastAsia="宋体" w:cs="Times New Roman"/>
          <w:b/>
          <w:bCs/>
          <w:sz w:val="22"/>
          <w:lang w:val="en-US" w:eastAsia="zh-CN"/>
        </w:rPr>
        <w:t>Proposal 4: UEs in N1 coverage will not perform any RRM measurements such as L3/L1 measurement in RRC Connected state and cell re-selection measurement in RRC Idle/Inactive state.</w:t>
      </w:r>
    </w:p>
    <w:p>
      <w:pPr>
        <w:overflowPunct w:val="0"/>
        <w:autoSpaceDE w:val="0"/>
        <w:autoSpaceDN w:val="0"/>
        <w:adjustRightInd w:val="0"/>
        <w:spacing w:before="120" w:after="120" w:line="360" w:lineRule="auto"/>
        <w:jc w:val="both"/>
        <w:textAlignment w:val="baseline"/>
        <w:rPr>
          <w:rFonts w:hint="default" w:eastAsia="宋体"/>
          <w:b/>
          <w:bCs/>
          <w:sz w:val="22"/>
          <w:lang w:val="en-US" w:eastAsia="zh-CN"/>
        </w:rPr>
      </w:pPr>
      <w:r>
        <w:rPr>
          <w:rFonts w:hint="eastAsia" w:eastAsia="宋体"/>
          <w:b/>
          <w:bCs/>
          <w:sz w:val="22"/>
          <w:lang w:val="en-US" w:eastAsia="zh-CN"/>
        </w:rPr>
        <w:t xml:space="preserve">Proposal 5: RAN4 shall clarify whether the legacy multiple SMTCs mechanism can be used for regenerative payload or not. </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4: RAN2 confirms the existing RACH-less handover procedure for transparent payload scenario can be directly used in regenerative mode.</w:t>
      </w:r>
    </w:p>
    <w:p>
      <w:pPr>
        <w:overflowPunct w:val="0"/>
        <w:autoSpaceDE w:val="0"/>
        <w:autoSpaceDN w:val="0"/>
        <w:adjustRightInd w:val="0"/>
        <w:spacing w:before="120" w:after="120" w:line="360" w:lineRule="auto"/>
        <w:jc w:val="both"/>
        <w:textAlignment w:val="baseline"/>
        <w:rPr>
          <w:rFonts w:hint="eastAsia" w:eastAsia="宋体"/>
          <w:b w:val="0"/>
          <w:bCs w:val="0"/>
          <w:sz w:val="22"/>
          <w:lang w:val="en-US" w:eastAsia="zh-CN"/>
        </w:rPr>
      </w:pPr>
      <w:r>
        <w:rPr>
          <w:rFonts w:hint="eastAsia" w:eastAsia="宋体"/>
          <w:b/>
          <w:bCs/>
          <w:sz w:val="22"/>
          <w:lang w:val="en-US" w:eastAsia="zh-CN"/>
        </w:rPr>
        <w:t>Proposal 6: The existing RACH-less handover requirements shall be reused for regenerative mode</w:t>
      </w:r>
      <w:r>
        <w:rPr>
          <w:rFonts w:hint="eastAsia" w:eastAsia="宋体"/>
          <w:b w:val="0"/>
          <w:bCs w:val="0"/>
          <w:sz w:val="22"/>
          <w:lang w:val="en-US" w:eastAsia="zh-CN"/>
        </w:rPr>
        <w:t>.</w:t>
      </w:r>
    </w:p>
    <w:p>
      <w:pPr>
        <w:overflowPunct w:val="0"/>
        <w:autoSpaceDE w:val="0"/>
        <w:autoSpaceDN w:val="0"/>
        <w:adjustRightInd w:val="0"/>
        <w:spacing w:before="120" w:after="120" w:line="360" w:lineRule="auto"/>
        <w:jc w:val="both"/>
        <w:textAlignment w:val="baseline"/>
        <w:rPr>
          <w:rFonts w:hint="eastAsia"/>
          <w:b/>
          <w:bCs/>
          <w:lang w:val="en-US" w:eastAsia="zh-CN"/>
        </w:rPr>
      </w:pPr>
      <w:r>
        <w:rPr>
          <w:rFonts w:hint="eastAsia"/>
          <w:b/>
          <w:bCs/>
          <w:lang w:val="en-US" w:eastAsia="zh-CN"/>
        </w:rPr>
        <w:t>Observation 5: There is no conclusion on whether support the satellite switch with re-sync on regenerative payload or not.</w:t>
      </w:r>
    </w:p>
    <w:p>
      <w:pPr>
        <w:overflowPunct w:val="0"/>
        <w:autoSpaceDE w:val="0"/>
        <w:autoSpaceDN w:val="0"/>
        <w:adjustRightInd w:val="0"/>
        <w:spacing w:before="120" w:after="120" w:line="360" w:lineRule="auto"/>
        <w:jc w:val="both"/>
        <w:textAlignment w:val="baseline"/>
        <w:rPr>
          <w:rFonts w:hint="eastAsia"/>
          <w:lang w:val="en-US" w:eastAsia="zh-CN"/>
        </w:rPr>
      </w:pPr>
      <w:r>
        <w:rPr>
          <w:rFonts w:hint="eastAsia"/>
          <w:b/>
          <w:bCs/>
          <w:lang w:val="en-US" w:eastAsia="zh-CN"/>
        </w:rPr>
        <w:t>Proposal 7: RAN4 shall not consider satellite switch on regenerative payload in this stage.</w:t>
      </w:r>
    </w:p>
    <w:p>
      <w:pPr>
        <w:overflowPunct w:val="0"/>
        <w:autoSpaceDE w:val="0"/>
        <w:autoSpaceDN w:val="0"/>
        <w:adjustRightInd w:val="0"/>
        <w:spacing w:before="120" w:after="120" w:line="360" w:lineRule="auto"/>
        <w:jc w:val="both"/>
        <w:textAlignment w:val="baseline"/>
        <w:rPr>
          <w:rFonts w:hint="eastAsia"/>
          <w:b/>
          <w:bCs/>
          <w:lang w:val="en-US" w:eastAsia="zh-CN"/>
        </w:rPr>
      </w:pPr>
      <w:r>
        <w:rPr>
          <w:rFonts w:hint="eastAsia"/>
          <w:b/>
          <w:bCs/>
          <w:lang w:val="en-US" w:eastAsia="zh-CN"/>
        </w:rPr>
        <w:t>Proposal 8: From RAN4 perspective, the existing requirements could be considered for regenerative payload.</w:t>
      </w:r>
    </w:p>
    <w:p>
      <w:pPr>
        <w:overflowPunct w:val="0"/>
        <w:autoSpaceDE w:val="0"/>
        <w:autoSpaceDN w:val="0"/>
        <w:adjustRightInd w:val="0"/>
        <w:spacing w:before="120" w:after="120" w:line="360" w:lineRule="auto"/>
        <w:jc w:val="both"/>
        <w:textAlignment w:val="baseline"/>
        <w:rPr>
          <w:rFonts w:hint="eastAsia" w:eastAsia="宋体"/>
          <w:b/>
          <w:bCs/>
          <w:sz w:val="22"/>
          <w:lang w:val="en-US" w:eastAsia="zh-CN"/>
        </w:rPr>
      </w:pPr>
      <w:r>
        <w:rPr>
          <w:rFonts w:hint="eastAsia" w:eastAsia="宋体"/>
          <w:b/>
          <w:bCs/>
          <w:sz w:val="22"/>
          <w:lang w:val="en-US" w:eastAsia="zh-CN"/>
        </w:rPr>
        <w:t>Observation 6: Compared to transparent payload, the reference point is only on payload not on the feeder link, where the common TA and K</w:t>
      </w:r>
      <w:r>
        <w:rPr>
          <w:rFonts w:hint="eastAsia" w:eastAsia="宋体"/>
          <w:b/>
          <w:bCs/>
          <w:sz w:val="22"/>
          <w:vertAlign w:val="subscript"/>
          <w:lang w:val="en-US" w:eastAsia="zh-CN"/>
        </w:rPr>
        <w:t>MAC</w:t>
      </w:r>
      <w:r>
        <w:rPr>
          <w:rFonts w:hint="eastAsia" w:eastAsia="宋体"/>
          <w:b/>
          <w:bCs/>
          <w:sz w:val="22"/>
          <w:lang w:val="en-US" w:eastAsia="zh-CN"/>
        </w:rPr>
        <w:t xml:space="preserve"> is 0.</w:t>
      </w:r>
    </w:p>
    <w:p>
      <w:pPr>
        <w:overflowPunct w:val="0"/>
        <w:autoSpaceDE w:val="0"/>
        <w:autoSpaceDN w:val="0"/>
        <w:adjustRightInd w:val="0"/>
        <w:spacing w:before="120" w:after="120" w:line="360" w:lineRule="auto"/>
        <w:jc w:val="both"/>
        <w:textAlignment w:val="baseline"/>
        <w:rPr>
          <w:rFonts w:hint="default"/>
          <w:b/>
          <w:bCs/>
          <w:lang w:val="en-US" w:eastAsia="zh-CN"/>
        </w:rPr>
      </w:pPr>
      <w:r>
        <w:rPr>
          <w:rFonts w:hint="eastAsia" w:eastAsia="宋体"/>
          <w:b/>
          <w:bCs/>
          <w:sz w:val="22"/>
          <w:lang w:val="en-US" w:eastAsia="zh-CN"/>
        </w:rPr>
        <w:t>Proposal 9: RAN4 shall clarify that there is no difference between transparent payload and regenerative payload on timing advance.</w:t>
      </w:r>
    </w:p>
    <w:p>
      <w:pPr>
        <w:pStyle w:val="76"/>
        <w:numPr>
          <w:ilvl w:val="0"/>
          <w:numId w:val="0"/>
        </w:numPr>
        <w:ind w:left="360" w:hanging="360"/>
        <w:rPr>
          <w:lang w:val="en-US"/>
        </w:rPr>
      </w:pPr>
      <w:r>
        <w:rPr>
          <w:rFonts w:hint="eastAsia"/>
          <w:lang w:val="en-US" w:eastAsia="zh-CN"/>
        </w:rPr>
        <w:t>4</w:t>
      </w:r>
      <w:r>
        <w:rPr>
          <w:lang w:val="en-US"/>
        </w:rPr>
        <w:t>References</w:t>
      </w:r>
    </w:p>
    <w:p>
      <w:pPr>
        <w:rPr>
          <w:lang w:val="en-US"/>
        </w:rPr>
      </w:pPr>
      <w:bookmarkStart w:id="3" w:name="_Ref114500673"/>
      <w:bookmarkEnd w:id="3"/>
      <w:r>
        <w:rPr>
          <w:rFonts w:hint="eastAsia" w:eastAsia="宋体"/>
          <w:lang w:val="en-US" w:eastAsia="zh-CN"/>
        </w:rPr>
        <w:t xml:space="preserve">[1] </w:t>
      </w:r>
      <w:r>
        <w:rPr>
          <w:rFonts w:hint="eastAsia"/>
        </w:rPr>
        <w:t>RP-241667</w:t>
      </w:r>
      <w:r>
        <w:rPr>
          <w:rFonts w:hint="eastAsia" w:eastAsia="宋体"/>
          <w:lang w:eastAsia="zh-CN"/>
        </w:rPr>
        <w:t>，</w:t>
      </w:r>
      <w:r>
        <w:rPr>
          <w:rFonts w:hint="eastAsia"/>
        </w:rPr>
        <w:t xml:space="preserve">Rel-19 WID NR NTN phase </w:t>
      </w:r>
      <w:r>
        <w:rPr>
          <w:rFonts w:hint="eastAsia" w:eastAsia="宋体"/>
          <w:lang w:val="en-US" w:eastAsia="zh-CN"/>
        </w:rPr>
        <w:t>3</w:t>
      </w:r>
      <w:r>
        <w:rPr>
          <w:rFonts w:hint="eastAsia"/>
          <w:lang w:val="en-US" w:eastAsia="zh-CN"/>
        </w:rPr>
        <w:t>.</w:t>
      </w:r>
    </w:p>
    <w:p>
      <w:pPr>
        <w:rPr>
          <w:rFonts w:hint="eastAsia"/>
          <w:lang w:val="en-US" w:eastAsia="zh-CN"/>
        </w:rPr>
      </w:pPr>
      <w:r>
        <w:rPr>
          <w:rFonts w:hint="eastAsia"/>
          <w:lang w:val="en-US" w:eastAsia="zh-CN"/>
        </w:rPr>
        <w:t>[2] TS38.133</w:t>
      </w:r>
    </w:p>
    <w:p>
      <w:pPr>
        <w:rPr>
          <w:rFonts w:hint="eastAsia"/>
          <w:lang w:val="en-US" w:eastAsia="zh-CN"/>
        </w:rPr>
      </w:pPr>
      <w:r>
        <w:rPr>
          <w:rFonts w:hint="eastAsia"/>
          <w:lang w:val="en-US" w:eastAsia="zh-CN"/>
        </w:rPr>
        <w:t>[3] TS38.304</w:t>
      </w:r>
    </w:p>
    <w:p>
      <w:pPr>
        <w:rPr>
          <w:rFonts w:hint="default"/>
          <w:lang w:val="en-US" w:eastAsia="zh-CN"/>
        </w:rPr>
      </w:pPr>
      <w:r>
        <w:rPr>
          <w:rFonts w:hint="eastAsia"/>
          <w:lang w:val="en-US" w:eastAsia="zh-CN"/>
        </w:rPr>
        <w:t>[4] TS38.331</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auto"/>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0AF120"/>
    <w:multiLevelType w:val="singleLevel"/>
    <w:tmpl w:val="BE0AF120"/>
    <w:lvl w:ilvl="0" w:tentative="0">
      <w:start w:val="1"/>
      <w:numFmt w:val="bullet"/>
      <w:lvlText w:val=""/>
      <w:lvlJc w:val="left"/>
      <w:pPr>
        <w:tabs>
          <w:tab w:val="left" w:pos="420"/>
        </w:tabs>
        <w:ind w:left="840" w:hanging="420"/>
      </w:pPr>
      <w:rPr>
        <w:rFonts w:hint="default" w:ascii="Wingdings" w:hAnsi="Wingdings"/>
      </w:rPr>
    </w:lvl>
  </w:abstractNum>
  <w:abstractNum w:abstractNumId="1">
    <w:nsid w:val="C317B32C"/>
    <w:multiLevelType w:val="singleLevel"/>
    <w:tmpl w:val="C317B32C"/>
    <w:lvl w:ilvl="0" w:tentative="0">
      <w:start w:val="1"/>
      <w:numFmt w:val="bullet"/>
      <w:lvlText w:val=""/>
      <w:lvlJc w:val="left"/>
      <w:pPr>
        <w:ind w:left="420" w:hanging="420"/>
      </w:pPr>
      <w:rPr>
        <w:rFonts w:hint="default" w:ascii="Wingdings" w:hAnsi="Wingdings"/>
      </w:rPr>
    </w:lvl>
  </w:abstractNum>
  <w:abstractNum w:abstractNumId="2">
    <w:nsid w:val="DD893A56"/>
    <w:multiLevelType w:val="singleLevel"/>
    <w:tmpl w:val="DD893A56"/>
    <w:lvl w:ilvl="0" w:tentative="0">
      <w:start w:val="1"/>
      <w:numFmt w:val="decimal"/>
      <w:suff w:val="space"/>
      <w:lvlText w:val="%1."/>
      <w:lvlJc w:val="left"/>
    </w:lvl>
  </w:abstractNum>
  <w:abstractNum w:abstractNumId="3">
    <w:nsid w:val="F49E9D98"/>
    <w:multiLevelType w:val="singleLevel"/>
    <w:tmpl w:val="F49E9D98"/>
    <w:lvl w:ilvl="0" w:tentative="0">
      <w:start w:val="1"/>
      <w:numFmt w:val="decimal"/>
      <w:suff w:val="space"/>
      <w:lvlText w:val="%1."/>
      <w:lvlJc w:val="left"/>
    </w:lvl>
  </w:abstractNum>
  <w:abstractNum w:abstractNumId="4">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3C1FA64"/>
    <w:multiLevelType w:val="multilevel"/>
    <w:tmpl w:val="33C1FA64"/>
    <w:lvl w:ilvl="0" w:tentative="0">
      <w:start w:val="1"/>
      <w:numFmt w:val="bullet"/>
      <w:lvlText w:val=""/>
      <w:lvlJc w:val="left"/>
      <w:pPr>
        <w:tabs>
          <w:tab w:val="left" w:pos="0"/>
        </w:tabs>
        <w:ind w:left="720" w:hanging="360"/>
      </w:pPr>
      <w:rPr>
        <w:rFonts w:ascii="Symbol" w:hAnsi="Symbol" w:cs="Symbol"/>
      </w:rPr>
    </w:lvl>
    <w:lvl w:ilvl="1" w:tentative="0">
      <w:start w:val="1"/>
      <w:numFmt w:val="bullet"/>
      <w:lvlText w:val="o"/>
      <w:lvlJc w:val="left"/>
      <w:pPr>
        <w:tabs>
          <w:tab w:val="left" w:pos="0"/>
        </w:tabs>
        <w:ind w:left="1440" w:hanging="360"/>
      </w:pPr>
      <w:rPr>
        <w:rFonts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3958279B"/>
    <w:multiLevelType w:val="multilevel"/>
    <w:tmpl w:val="395827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8">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9">
    <w:nsid w:val="67267C66"/>
    <w:multiLevelType w:val="multilevel"/>
    <w:tmpl w:val="67267C66"/>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0"/>
      <w:numFmt w:val="bullet"/>
      <w:lvlText w:val="•"/>
      <w:lvlJc w:val="left"/>
      <w:pPr>
        <w:ind w:left="6404" w:hanging="360"/>
      </w:pPr>
      <w:rPr>
        <w:rFonts w:hint="default" w:ascii="Times New Roman" w:hAnsi="Times New Roman" w:eastAsia="宋体" w:cs="Times New Roman"/>
      </w:rPr>
    </w:lvl>
  </w:abstractNum>
  <w:abstractNum w:abstractNumId="10">
    <w:nsid w:val="7EFD04FD"/>
    <w:multiLevelType w:val="multilevel"/>
    <w:tmpl w:val="7EFD04FD"/>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7"/>
  </w:num>
  <w:num w:numId="3">
    <w:abstractNumId w:val="10"/>
  </w:num>
  <w:num w:numId="4">
    <w:abstractNumId w:val="4"/>
  </w:num>
  <w:num w:numId="5">
    <w:abstractNumId w:val="9"/>
  </w:num>
  <w:num w:numId="6">
    <w:abstractNumId w:val="5"/>
  </w:num>
  <w:num w:numId="7">
    <w:abstractNumId w:val="1"/>
  </w:num>
  <w:num w:numId="8">
    <w:abstractNumId w:val="0"/>
  </w:num>
  <w:num w:numId="9">
    <w:abstractNumId w:val="6"/>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A8C"/>
    <w:rsid w:val="00033397"/>
    <w:rsid w:val="00040095"/>
    <w:rsid w:val="000455F6"/>
    <w:rsid w:val="00051834"/>
    <w:rsid w:val="00054A22"/>
    <w:rsid w:val="00056A26"/>
    <w:rsid w:val="00062023"/>
    <w:rsid w:val="000655A6"/>
    <w:rsid w:val="00080512"/>
    <w:rsid w:val="000C47C3"/>
    <w:rsid w:val="000D39A7"/>
    <w:rsid w:val="000D58AB"/>
    <w:rsid w:val="0011507D"/>
    <w:rsid w:val="00131F19"/>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44610"/>
    <w:rsid w:val="0035462D"/>
    <w:rsid w:val="003765B8"/>
    <w:rsid w:val="00384CDA"/>
    <w:rsid w:val="003A71A1"/>
    <w:rsid w:val="003C3971"/>
    <w:rsid w:val="003D429A"/>
    <w:rsid w:val="00423334"/>
    <w:rsid w:val="004345EC"/>
    <w:rsid w:val="0044364B"/>
    <w:rsid w:val="00454360"/>
    <w:rsid w:val="00465515"/>
    <w:rsid w:val="004929E3"/>
    <w:rsid w:val="00495EB4"/>
    <w:rsid w:val="004B2A74"/>
    <w:rsid w:val="004C61CE"/>
    <w:rsid w:val="004D3578"/>
    <w:rsid w:val="004E213A"/>
    <w:rsid w:val="004E4C8E"/>
    <w:rsid w:val="004F0988"/>
    <w:rsid w:val="004F3340"/>
    <w:rsid w:val="0053388B"/>
    <w:rsid w:val="00535773"/>
    <w:rsid w:val="00543E6C"/>
    <w:rsid w:val="00546D44"/>
    <w:rsid w:val="0056254B"/>
    <w:rsid w:val="00565087"/>
    <w:rsid w:val="0057305F"/>
    <w:rsid w:val="00586E2E"/>
    <w:rsid w:val="0058779C"/>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684A"/>
    <w:rsid w:val="00841141"/>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34633"/>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27639"/>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53FEA"/>
    <w:rsid w:val="00E77645"/>
    <w:rsid w:val="00E82959"/>
    <w:rsid w:val="00EA15B0"/>
    <w:rsid w:val="00EA5EA7"/>
    <w:rsid w:val="00EC4A25"/>
    <w:rsid w:val="00EF13CA"/>
    <w:rsid w:val="00F025A2"/>
    <w:rsid w:val="00F04712"/>
    <w:rsid w:val="00F11E2C"/>
    <w:rsid w:val="00F13360"/>
    <w:rsid w:val="00F22EC7"/>
    <w:rsid w:val="00F325C8"/>
    <w:rsid w:val="00F46721"/>
    <w:rsid w:val="00F653B8"/>
    <w:rsid w:val="00F76708"/>
    <w:rsid w:val="00F80895"/>
    <w:rsid w:val="00F9008D"/>
    <w:rsid w:val="00FA1266"/>
    <w:rsid w:val="00FA4E78"/>
    <w:rsid w:val="00FC1192"/>
    <w:rsid w:val="00FC2417"/>
    <w:rsid w:val="00FD589C"/>
    <w:rsid w:val="01145951"/>
    <w:rsid w:val="011629BA"/>
    <w:rsid w:val="01256C52"/>
    <w:rsid w:val="01295F0D"/>
    <w:rsid w:val="013D472E"/>
    <w:rsid w:val="01406A1E"/>
    <w:rsid w:val="01410DC2"/>
    <w:rsid w:val="01536085"/>
    <w:rsid w:val="01572F42"/>
    <w:rsid w:val="0158163D"/>
    <w:rsid w:val="015A322D"/>
    <w:rsid w:val="016112D3"/>
    <w:rsid w:val="01652E48"/>
    <w:rsid w:val="01726FEF"/>
    <w:rsid w:val="018F1743"/>
    <w:rsid w:val="018F25C8"/>
    <w:rsid w:val="01906A5B"/>
    <w:rsid w:val="01907C39"/>
    <w:rsid w:val="01B416EC"/>
    <w:rsid w:val="01B8645F"/>
    <w:rsid w:val="01E70C97"/>
    <w:rsid w:val="01EA15CF"/>
    <w:rsid w:val="01FC7C1B"/>
    <w:rsid w:val="021D3C93"/>
    <w:rsid w:val="02402E7C"/>
    <w:rsid w:val="02505886"/>
    <w:rsid w:val="029011A2"/>
    <w:rsid w:val="02922A4D"/>
    <w:rsid w:val="029D79D6"/>
    <w:rsid w:val="02A03627"/>
    <w:rsid w:val="02AA6CEC"/>
    <w:rsid w:val="02B63EF1"/>
    <w:rsid w:val="02BA14AA"/>
    <w:rsid w:val="02BB608A"/>
    <w:rsid w:val="02CB7221"/>
    <w:rsid w:val="02DB4554"/>
    <w:rsid w:val="02EC4357"/>
    <w:rsid w:val="02EE768C"/>
    <w:rsid w:val="02FA1082"/>
    <w:rsid w:val="031778E0"/>
    <w:rsid w:val="03182BA3"/>
    <w:rsid w:val="031A20EC"/>
    <w:rsid w:val="031B60F3"/>
    <w:rsid w:val="0327096F"/>
    <w:rsid w:val="032A315A"/>
    <w:rsid w:val="03481CC2"/>
    <w:rsid w:val="034E163D"/>
    <w:rsid w:val="035508BA"/>
    <w:rsid w:val="03697E85"/>
    <w:rsid w:val="0375005C"/>
    <w:rsid w:val="038346FC"/>
    <w:rsid w:val="03A21826"/>
    <w:rsid w:val="03A3177A"/>
    <w:rsid w:val="03B81428"/>
    <w:rsid w:val="03BF3D9F"/>
    <w:rsid w:val="03C80AD2"/>
    <w:rsid w:val="03C95263"/>
    <w:rsid w:val="03E4716B"/>
    <w:rsid w:val="03EC2B7B"/>
    <w:rsid w:val="03F0584F"/>
    <w:rsid w:val="03F31292"/>
    <w:rsid w:val="03FA7E60"/>
    <w:rsid w:val="03FB5627"/>
    <w:rsid w:val="04076F95"/>
    <w:rsid w:val="04242812"/>
    <w:rsid w:val="042736AF"/>
    <w:rsid w:val="0432382E"/>
    <w:rsid w:val="04383CC9"/>
    <w:rsid w:val="04421BA4"/>
    <w:rsid w:val="044B12E0"/>
    <w:rsid w:val="046301A2"/>
    <w:rsid w:val="046A0693"/>
    <w:rsid w:val="04732FB8"/>
    <w:rsid w:val="0477105B"/>
    <w:rsid w:val="047D2013"/>
    <w:rsid w:val="04871DE8"/>
    <w:rsid w:val="048F6485"/>
    <w:rsid w:val="04A12403"/>
    <w:rsid w:val="04A815F7"/>
    <w:rsid w:val="04A92035"/>
    <w:rsid w:val="04AD06A4"/>
    <w:rsid w:val="04BD1E3A"/>
    <w:rsid w:val="04C94AE8"/>
    <w:rsid w:val="04DB7BCA"/>
    <w:rsid w:val="04E04910"/>
    <w:rsid w:val="04F962A2"/>
    <w:rsid w:val="050C7718"/>
    <w:rsid w:val="05176C7C"/>
    <w:rsid w:val="05214F03"/>
    <w:rsid w:val="053E2528"/>
    <w:rsid w:val="055E02FB"/>
    <w:rsid w:val="056A3BE2"/>
    <w:rsid w:val="057E488D"/>
    <w:rsid w:val="05913C94"/>
    <w:rsid w:val="05AE2916"/>
    <w:rsid w:val="05B1379B"/>
    <w:rsid w:val="05C6466C"/>
    <w:rsid w:val="05CF02ED"/>
    <w:rsid w:val="05DB67C3"/>
    <w:rsid w:val="05EB00C3"/>
    <w:rsid w:val="05EC4912"/>
    <w:rsid w:val="05F02736"/>
    <w:rsid w:val="05F67FA1"/>
    <w:rsid w:val="05FB615F"/>
    <w:rsid w:val="05FF4B65"/>
    <w:rsid w:val="06026AB1"/>
    <w:rsid w:val="060C7795"/>
    <w:rsid w:val="060D0D66"/>
    <w:rsid w:val="060D18FC"/>
    <w:rsid w:val="062C2061"/>
    <w:rsid w:val="06311BAC"/>
    <w:rsid w:val="064552D9"/>
    <w:rsid w:val="064674D8"/>
    <w:rsid w:val="066C1D78"/>
    <w:rsid w:val="0670611D"/>
    <w:rsid w:val="06747567"/>
    <w:rsid w:val="067C67DB"/>
    <w:rsid w:val="068158A4"/>
    <w:rsid w:val="06AB2A7F"/>
    <w:rsid w:val="06B70A90"/>
    <w:rsid w:val="06BB7ADE"/>
    <w:rsid w:val="06C82223"/>
    <w:rsid w:val="06DE41D3"/>
    <w:rsid w:val="06E73497"/>
    <w:rsid w:val="06FB066E"/>
    <w:rsid w:val="07007517"/>
    <w:rsid w:val="07073FA3"/>
    <w:rsid w:val="071D566E"/>
    <w:rsid w:val="07262AE1"/>
    <w:rsid w:val="072F7FC6"/>
    <w:rsid w:val="0732584E"/>
    <w:rsid w:val="073C7FDB"/>
    <w:rsid w:val="07565116"/>
    <w:rsid w:val="075A7EF6"/>
    <w:rsid w:val="076202A2"/>
    <w:rsid w:val="076A2A73"/>
    <w:rsid w:val="07713742"/>
    <w:rsid w:val="07754CC8"/>
    <w:rsid w:val="07774C5C"/>
    <w:rsid w:val="077B6562"/>
    <w:rsid w:val="07AE506C"/>
    <w:rsid w:val="07B54B15"/>
    <w:rsid w:val="07BC23FD"/>
    <w:rsid w:val="07C22AAD"/>
    <w:rsid w:val="07C3764D"/>
    <w:rsid w:val="07CE3ADB"/>
    <w:rsid w:val="07F6399B"/>
    <w:rsid w:val="07F66AC5"/>
    <w:rsid w:val="0833764C"/>
    <w:rsid w:val="08377C87"/>
    <w:rsid w:val="083A0C0C"/>
    <w:rsid w:val="08407581"/>
    <w:rsid w:val="084677D5"/>
    <w:rsid w:val="0848005E"/>
    <w:rsid w:val="084B1A9E"/>
    <w:rsid w:val="084C657D"/>
    <w:rsid w:val="084D12F0"/>
    <w:rsid w:val="08674142"/>
    <w:rsid w:val="087029A6"/>
    <w:rsid w:val="087B6B61"/>
    <w:rsid w:val="087E40F9"/>
    <w:rsid w:val="08887A18"/>
    <w:rsid w:val="088A5513"/>
    <w:rsid w:val="08916AA8"/>
    <w:rsid w:val="089F664F"/>
    <w:rsid w:val="08A203F3"/>
    <w:rsid w:val="08AF00C1"/>
    <w:rsid w:val="08B531C0"/>
    <w:rsid w:val="08BB1078"/>
    <w:rsid w:val="08BD1F16"/>
    <w:rsid w:val="08C95BAB"/>
    <w:rsid w:val="08CD401D"/>
    <w:rsid w:val="08D53034"/>
    <w:rsid w:val="08DA28B3"/>
    <w:rsid w:val="08DD2BEF"/>
    <w:rsid w:val="08F203BB"/>
    <w:rsid w:val="08FF0843"/>
    <w:rsid w:val="09026457"/>
    <w:rsid w:val="0903652D"/>
    <w:rsid w:val="090556C6"/>
    <w:rsid w:val="09104DCD"/>
    <w:rsid w:val="091A5ED7"/>
    <w:rsid w:val="091C11FF"/>
    <w:rsid w:val="09226210"/>
    <w:rsid w:val="092B5520"/>
    <w:rsid w:val="09305CA1"/>
    <w:rsid w:val="09335E2F"/>
    <w:rsid w:val="094C40B4"/>
    <w:rsid w:val="09604EF4"/>
    <w:rsid w:val="09606948"/>
    <w:rsid w:val="09672750"/>
    <w:rsid w:val="096D012E"/>
    <w:rsid w:val="096E0D4F"/>
    <w:rsid w:val="09736AE0"/>
    <w:rsid w:val="09915825"/>
    <w:rsid w:val="09D27A29"/>
    <w:rsid w:val="09E30E5D"/>
    <w:rsid w:val="09E97A33"/>
    <w:rsid w:val="09F331B4"/>
    <w:rsid w:val="0A101B49"/>
    <w:rsid w:val="0A1364A3"/>
    <w:rsid w:val="0A143BE1"/>
    <w:rsid w:val="0A2638DB"/>
    <w:rsid w:val="0A286DFB"/>
    <w:rsid w:val="0A470CEC"/>
    <w:rsid w:val="0A475469"/>
    <w:rsid w:val="0A4856E0"/>
    <w:rsid w:val="0A4D3E03"/>
    <w:rsid w:val="0A5164D1"/>
    <w:rsid w:val="0A617D3D"/>
    <w:rsid w:val="0A6C43DE"/>
    <w:rsid w:val="0A8452CE"/>
    <w:rsid w:val="0ABC02E8"/>
    <w:rsid w:val="0AC16484"/>
    <w:rsid w:val="0ACB2015"/>
    <w:rsid w:val="0AD20D5E"/>
    <w:rsid w:val="0AD555AC"/>
    <w:rsid w:val="0AED24FC"/>
    <w:rsid w:val="0B0444E5"/>
    <w:rsid w:val="0B0C593E"/>
    <w:rsid w:val="0B0F4A80"/>
    <w:rsid w:val="0B147818"/>
    <w:rsid w:val="0B1B1997"/>
    <w:rsid w:val="0B24532C"/>
    <w:rsid w:val="0B3F6621"/>
    <w:rsid w:val="0B4D2A88"/>
    <w:rsid w:val="0B527B25"/>
    <w:rsid w:val="0B565626"/>
    <w:rsid w:val="0B5E0983"/>
    <w:rsid w:val="0B6251C3"/>
    <w:rsid w:val="0B6A4840"/>
    <w:rsid w:val="0B707256"/>
    <w:rsid w:val="0B7129F9"/>
    <w:rsid w:val="0B713897"/>
    <w:rsid w:val="0B744B6D"/>
    <w:rsid w:val="0B7E60C9"/>
    <w:rsid w:val="0B8730CC"/>
    <w:rsid w:val="0B8D7CFF"/>
    <w:rsid w:val="0B927AF3"/>
    <w:rsid w:val="0BA00262"/>
    <w:rsid w:val="0BA069F6"/>
    <w:rsid w:val="0BA92341"/>
    <w:rsid w:val="0BB6397D"/>
    <w:rsid w:val="0BC82D04"/>
    <w:rsid w:val="0BD16DAE"/>
    <w:rsid w:val="0BE05B3D"/>
    <w:rsid w:val="0BEF4F2C"/>
    <w:rsid w:val="0BF03462"/>
    <w:rsid w:val="0BF56721"/>
    <w:rsid w:val="0BF74174"/>
    <w:rsid w:val="0C13117C"/>
    <w:rsid w:val="0C226DB2"/>
    <w:rsid w:val="0C2549FA"/>
    <w:rsid w:val="0C351552"/>
    <w:rsid w:val="0C5161F8"/>
    <w:rsid w:val="0C52360D"/>
    <w:rsid w:val="0C5311B2"/>
    <w:rsid w:val="0C721B20"/>
    <w:rsid w:val="0C755A7E"/>
    <w:rsid w:val="0C7C1976"/>
    <w:rsid w:val="0CAC6DE2"/>
    <w:rsid w:val="0CBA5E3E"/>
    <w:rsid w:val="0CBC6DFC"/>
    <w:rsid w:val="0CCB3B11"/>
    <w:rsid w:val="0CD82F88"/>
    <w:rsid w:val="0CDE55BC"/>
    <w:rsid w:val="0CDF3914"/>
    <w:rsid w:val="0CEA2CF7"/>
    <w:rsid w:val="0CF377F7"/>
    <w:rsid w:val="0CF77F3A"/>
    <w:rsid w:val="0CFA155A"/>
    <w:rsid w:val="0CFD24DF"/>
    <w:rsid w:val="0D035130"/>
    <w:rsid w:val="0D222892"/>
    <w:rsid w:val="0D225E27"/>
    <w:rsid w:val="0D23336E"/>
    <w:rsid w:val="0D284B82"/>
    <w:rsid w:val="0D2E60EE"/>
    <w:rsid w:val="0D3A5239"/>
    <w:rsid w:val="0D3A7039"/>
    <w:rsid w:val="0D3F3A0E"/>
    <w:rsid w:val="0D415F82"/>
    <w:rsid w:val="0D4356A8"/>
    <w:rsid w:val="0D5B0F8B"/>
    <w:rsid w:val="0D8735F9"/>
    <w:rsid w:val="0D8972A3"/>
    <w:rsid w:val="0D94436C"/>
    <w:rsid w:val="0D980C13"/>
    <w:rsid w:val="0DB607B8"/>
    <w:rsid w:val="0DBF30CC"/>
    <w:rsid w:val="0DC22600"/>
    <w:rsid w:val="0DC51AC4"/>
    <w:rsid w:val="0DC63EF2"/>
    <w:rsid w:val="0DD75C5E"/>
    <w:rsid w:val="0DD9749D"/>
    <w:rsid w:val="0DE9579A"/>
    <w:rsid w:val="0DEF32DD"/>
    <w:rsid w:val="0DEF7DB1"/>
    <w:rsid w:val="0DF843DB"/>
    <w:rsid w:val="0DFA693B"/>
    <w:rsid w:val="0DFF4B13"/>
    <w:rsid w:val="0E07732B"/>
    <w:rsid w:val="0E093416"/>
    <w:rsid w:val="0E1471BB"/>
    <w:rsid w:val="0E3D2E6B"/>
    <w:rsid w:val="0E402695"/>
    <w:rsid w:val="0E500807"/>
    <w:rsid w:val="0E604325"/>
    <w:rsid w:val="0E6B26B6"/>
    <w:rsid w:val="0E6B4543"/>
    <w:rsid w:val="0E777792"/>
    <w:rsid w:val="0E7A2CD0"/>
    <w:rsid w:val="0E7B1FCA"/>
    <w:rsid w:val="0E7E38D5"/>
    <w:rsid w:val="0E85325F"/>
    <w:rsid w:val="0E880E39"/>
    <w:rsid w:val="0E904E74"/>
    <w:rsid w:val="0E94129D"/>
    <w:rsid w:val="0E9D025B"/>
    <w:rsid w:val="0EA8225F"/>
    <w:rsid w:val="0EA87B9E"/>
    <w:rsid w:val="0EBF433E"/>
    <w:rsid w:val="0ECA2E90"/>
    <w:rsid w:val="0ED01837"/>
    <w:rsid w:val="0ED33A29"/>
    <w:rsid w:val="0EE15B77"/>
    <w:rsid w:val="0EF97174"/>
    <w:rsid w:val="0F0F3D45"/>
    <w:rsid w:val="0F2550AA"/>
    <w:rsid w:val="0F274403"/>
    <w:rsid w:val="0F3A116B"/>
    <w:rsid w:val="0F48005B"/>
    <w:rsid w:val="0F4B2361"/>
    <w:rsid w:val="0F511411"/>
    <w:rsid w:val="0F671654"/>
    <w:rsid w:val="0F6C5E1D"/>
    <w:rsid w:val="0F703346"/>
    <w:rsid w:val="0F7066E0"/>
    <w:rsid w:val="0F80004E"/>
    <w:rsid w:val="0F871EAB"/>
    <w:rsid w:val="0F9F1528"/>
    <w:rsid w:val="0FC96267"/>
    <w:rsid w:val="0FD51005"/>
    <w:rsid w:val="0FD57709"/>
    <w:rsid w:val="0FD6046F"/>
    <w:rsid w:val="0FDF5A14"/>
    <w:rsid w:val="0FE30C1D"/>
    <w:rsid w:val="1008703A"/>
    <w:rsid w:val="100F718A"/>
    <w:rsid w:val="10126FBC"/>
    <w:rsid w:val="10242C9A"/>
    <w:rsid w:val="10297193"/>
    <w:rsid w:val="103809FF"/>
    <w:rsid w:val="103B4DE8"/>
    <w:rsid w:val="104344BA"/>
    <w:rsid w:val="10600639"/>
    <w:rsid w:val="10755F8E"/>
    <w:rsid w:val="10764104"/>
    <w:rsid w:val="10795489"/>
    <w:rsid w:val="10816F43"/>
    <w:rsid w:val="1096068D"/>
    <w:rsid w:val="10B81EFA"/>
    <w:rsid w:val="10B951CF"/>
    <w:rsid w:val="10BB3068"/>
    <w:rsid w:val="10D82C05"/>
    <w:rsid w:val="10F37BB3"/>
    <w:rsid w:val="11061C8F"/>
    <w:rsid w:val="110E3EB6"/>
    <w:rsid w:val="11131D94"/>
    <w:rsid w:val="111778A8"/>
    <w:rsid w:val="111E4B32"/>
    <w:rsid w:val="1124277B"/>
    <w:rsid w:val="112A1125"/>
    <w:rsid w:val="112C7D69"/>
    <w:rsid w:val="114143DD"/>
    <w:rsid w:val="11454527"/>
    <w:rsid w:val="114731E5"/>
    <w:rsid w:val="11617971"/>
    <w:rsid w:val="11622F64"/>
    <w:rsid w:val="116F4939"/>
    <w:rsid w:val="117016A9"/>
    <w:rsid w:val="117049F3"/>
    <w:rsid w:val="11846297"/>
    <w:rsid w:val="118660F9"/>
    <w:rsid w:val="11911E2E"/>
    <w:rsid w:val="11AC730F"/>
    <w:rsid w:val="11AD4D58"/>
    <w:rsid w:val="11B13797"/>
    <w:rsid w:val="11B67206"/>
    <w:rsid w:val="11BA4661"/>
    <w:rsid w:val="11BA6A1A"/>
    <w:rsid w:val="11BC62A5"/>
    <w:rsid w:val="11BF1687"/>
    <w:rsid w:val="11C70182"/>
    <w:rsid w:val="11D0797A"/>
    <w:rsid w:val="11E411C4"/>
    <w:rsid w:val="11E43DA7"/>
    <w:rsid w:val="11EB6DF4"/>
    <w:rsid w:val="11EE75FC"/>
    <w:rsid w:val="11FA2349"/>
    <w:rsid w:val="11FD2592"/>
    <w:rsid w:val="12044AB3"/>
    <w:rsid w:val="12117034"/>
    <w:rsid w:val="12342A01"/>
    <w:rsid w:val="123D5749"/>
    <w:rsid w:val="123F12C9"/>
    <w:rsid w:val="12533BE9"/>
    <w:rsid w:val="125B4B29"/>
    <w:rsid w:val="126548EE"/>
    <w:rsid w:val="12672AB8"/>
    <w:rsid w:val="12817181"/>
    <w:rsid w:val="12921148"/>
    <w:rsid w:val="129E31BE"/>
    <w:rsid w:val="129E41E5"/>
    <w:rsid w:val="129E6898"/>
    <w:rsid w:val="12A50021"/>
    <w:rsid w:val="12AA4BE9"/>
    <w:rsid w:val="12B40A3B"/>
    <w:rsid w:val="12C003F7"/>
    <w:rsid w:val="12C7679B"/>
    <w:rsid w:val="12DD774D"/>
    <w:rsid w:val="12DF0986"/>
    <w:rsid w:val="12E20B88"/>
    <w:rsid w:val="13272F78"/>
    <w:rsid w:val="133E4EC4"/>
    <w:rsid w:val="13434E27"/>
    <w:rsid w:val="135C37D3"/>
    <w:rsid w:val="1361146A"/>
    <w:rsid w:val="136404F3"/>
    <w:rsid w:val="136764DB"/>
    <w:rsid w:val="137E2663"/>
    <w:rsid w:val="13B61E8E"/>
    <w:rsid w:val="13C23A1B"/>
    <w:rsid w:val="13C72FD3"/>
    <w:rsid w:val="13C76244"/>
    <w:rsid w:val="13C82B02"/>
    <w:rsid w:val="13CF28FB"/>
    <w:rsid w:val="13DA7C15"/>
    <w:rsid w:val="13E001A9"/>
    <w:rsid w:val="13E905BF"/>
    <w:rsid w:val="13EA5E5F"/>
    <w:rsid w:val="140F27D6"/>
    <w:rsid w:val="14107AE9"/>
    <w:rsid w:val="14175E0A"/>
    <w:rsid w:val="141C258C"/>
    <w:rsid w:val="141F1BA5"/>
    <w:rsid w:val="142007B3"/>
    <w:rsid w:val="14254028"/>
    <w:rsid w:val="142A2204"/>
    <w:rsid w:val="14371C6A"/>
    <w:rsid w:val="144114C7"/>
    <w:rsid w:val="144349CA"/>
    <w:rsid w:val="14461DA9"/>
    <w:rsid w:val="14634805"/>
    <w:rsid w:val="1472255F"/>
    <w:rsid w:val="14782396"/>
    <w:rsid w:val="1479025D"/>
    <w:rsid w:val="148942E3"/>
    <w:rsid w:val="148B031E"/>
    <w:rsid w:val="148E2DB2"/>
    <w:rsid w:val="1492597B"/>
    <w:rsid w:val="14962EB3"/>
    <w:rsid w:val="14A75E60"/>
    <w:rsid w:val="14AC25B0"/>
    <w:rsid w:val="14AE0BED"/>
    <w:rsid w:val="14AF303C"/>
    <w:rsid w:val="14AF4133"/>
    <w:rsid w:val="14BA60B3"/>
    <w:rsid w:val="14BE55AD"/>
    <w:rsid w:val="14C355CD"/>
    <w:rsid w:val="14CD3D4D"/>
    <w:rsid w:val="14D4220A"/>
    <w:rsid w:val="14E13279"/>
    <w:rsid w:val="14E52CFF"/>
    <w:rsid w:val="14EC699A"/>
    <w:rsid w:val="14EF6AC5"/>
    <w:rsid w:val="1501033F"/>
    <w:rsid w:val="1502113A"/>
    <w:rsid w:val="150E5397"/>
    <w:rsid w:val="151308D4"/>
    <w:rsid w:val="1525202B"/>
    <w:rsid w:val="152704C0"/>
    <w:rsid w:val="15281376"/>
    <w:rsid w:val="152D5C4C"/>
    <w:rsid w:val="15414D8D"/>
    <w:rsid w:val="15422545"/>
    <w:rsid w:val="154C0005"/>
    <w:rsid w:val="154F1A86"/>
    <w:rsid w:val="155B339E"/>
    <w:rsid w:val="156508EF"/>
    <w:rsid w:val="15693006"/>
    <w:rsid w:val="156A222E"/>
    <w:rsid w:val="15716A99"/>
    <w:rsid w:val="157177C3"/>
    <w:rsid w:val="1581047E"/>
    <w:rsid w:val="15895642"/>
    <w:rsid w:val="15A444EB"/>
    <w:rsid w:val="15A93017"/>
    <w:rsid w:val="15B0540D"/>
    <w:rsid w:val="15B10740"/>
    <w:rsid w:val="15B47AB3"/>
    <w:rsid w:val="15B7532E"/>
    <w:rsid w:val="15C84147"/>
    <w:rsid w:val="15CA017F"/>
    <w:rsid w:val="15D64DE0"/>
    <w:rsid w:val="15D71AD5"/>
    <w:rsid w:val="15DC38C2"/>
    <w:rsid w:val="15E40C88"/>
    <w:rsid w:val="15F23B4A"/>
    <w:rsid w:val="15FC08F6"/>
    <w:rsid w:val="16050CCE"/>
    <w:rsid w:val="160703EA"/>
    <w:rsid w:val="160A354D"/>
    <w:rsid w:val="160F4041"/>
    <w:rsid w:val="1646133C"/>
    <w:rsid w:val="165931D9"/>
    <w:rsid w:val="1660404C"/>
    <w:rsid w:val="16682D3E"/>
    <w:rsid w:val="167046E9"/>
    <w:rsid w:val="167C0DF1"/>
    <w:rsid w:val="167E382D"/>
    <w:rsid w:val="168A2EA6"/>
    <w:rsid w:val="169A04A0"/>
    <w:rsid w:val="16A6304D"/>
    <w:rsid w:val="16D61758"/>
    <w:rsid w:val="16DC0535"/>
    <w:rsid w:val="16EE4509"/>
    <w:rsid w:val="16EF74E9"/>
    <w:rsid w:val="16F27D5E"/>
    <w:rsid w:val="170716B6"/>
    <w:rsid w:val="170A3ED8"/>
    <w:rsid w:val="1716576D"/>
    <w:rsid w:val="17241925"/>
    <w:rsid w:val="173D4671"/>
    <w:rsid w:val="1743129B"/>
    <w:rsid w:val="1748083E"/>
    <w:rsid w:val="175233D3"/>
    <w:rsid w:val="17553F9F"/>
    <w:rsid w:val="175623CE"/>
    <w:rsid w:val="176538DA"/>
    <w:rsid w:val="177D6416"/>
    <w:rsid w:val="1794775D"/>
    <w:rsid w:val="17B0596B"/>
    <w:rsid w:val="17C376AD"/>
    <w:rsid w:val="17CB4905"/>
    <w:rsid w:val="17CF4183"/>
    <w:rsid w:val="17D01F3A"/>
    <w:rsid w:val="17DA01E6"/>
    <w:rsid w:val="17DB3BDE"/>
    <w:rsid w:val="17DC7DAF"/>
    <w:rsid w:val="17DF40F7"/>
    <w:rsid w:val="17F01ECF"/>
    <w:rsid w:val="180E3620"/>
    <w:rsid w:val="180E4FC5"/>
    <w:rsid w:val="18171331"/>
    <w:rsid w:val="183153AC"/>
    <w:rsid w:val="18396192"/>
    <w:rsid w:val="184A4BE3"/>
    <w:rsid w:val="185060EC"/>
    <w:rsid w:val="1853612C"/>
    <w:rsid w:val="185A42FA"/>
    <w:rsid w:val="18870C54"/>
    <w:rsid w:val="18882132"/>
    <w:rsid w:val="189D2207"/>
    <w:rsid w:val="18A45C40"/>
    <w:rsid w:val="18A57A6A"/>
    <w:rsid w:val="18A768A8"/>
    <w:rsid w:val="18CF7A5D"/>
    <w:rsid w:val="18D57338"/>
    <w:rsid w:val="18E21560"/>
    <w:rsid w:val="18E24F5C"/>
    <w:rsid w:val="18E63A9B"/>
    <w:rsid w:val="18E96032"/>
    <w:rsid w:val="18EC15F6"/>
    <w:rsid w:val="18EE62E8"/>
    <w:rsid w:val="18F96461"/>
    <w:rsid w:val="19116F8E"/>
    <w:rsid w:val="1914310D"/>
    <w:rsid w:val="191C0440"/>
    <w:rsid w:val="193C66EC"/>
    <w:rsid w:val="19551A74"/>
    <w:rsid w:val="195F7D63"/>
    <w:rsid w:val="1971594C"/>
    <w:rsid w:val="197C2433"/>
    <w:rsid w:val="198F37EF"/>
    <w:rsid w:val="19933139"/>
    <w:rsid w:val="19AC4F46"/>
    <w:rsid w:val="19D57461"/>
    <w:rsid w:val="19D96275"/>
    <w:rsid w:val="19E74602"/>
    <w:rsid w:val="19EA2F53"/>
    <w:rsid w:val="19EE7D0B"/>
    <w:rsid w:val="19F6328E"/>
    <w:rsid w:val="1A0639B0"/>
    <w:rsid w:val="1A077D86"/>
    <w:rsid w:val="1A085685"/>
    <w:rsid w:val="1A191F3E"/>
    <w:rsid w:val="1A2308F8"/>
    <w:rsid w:val="1A465F21"/>
    <w:rsid w:val="1A4A567E"/>
    <w:rsid w:val="1A4D4035"/>
    <w:rsid w:val="1A5163D6"/>
    <w:rsid w:val="1A54768F"/>
    <w:rsid w:val="1A5A669E"/>
    <w:rsid w:val="1A6A5CDF"/>
    <w:rsid w:val="1A79617E"/>
    <w:rsid w:val="1A796C32"/>
    <w:rsid w:val="1A9853AE"/>
    <w:rsid w:val="1AB9028C"/>
    <w:rsid w:val="1AC56317"/>
    <w:rsid w:val="1AD6319E"/>
    <w:rsid w:val="1AEC4586"/>
    <w:rsid w:val="1AF566DD"/>
    <w:rsid w:val="1B4A0A55"/>
    <w:rsid w:val="1B4B651F"/>
    <w:rsid w:val="1B585C3E"/>
    <w:rsid w:val="1B5C096F"/>
    <w:rsid w:val="1B777BC9"/>
    <w:rsid w:val="1B7D10D5"/>
    <w:rsid w:val="1B81532C"/>
    <w:rsid w:val="1B8D6B92"/>
    <w:rsid w:val="1B90327A"/>
    <w:rsid w:val="1B936CD6"/>
    <w:rsid w:val="1B9379C1"/>
    <w:rsid w:val="1B990279"/>
    <w:rsid w:val="1B9B4E1C"/>
    <w:rsid w:val="1B9C50E9"/>
    <w:rsid w:val="1BA04CC7"/>
    <w:rsid w:val="1BA24967"/>
    <w:rsid w:val="1BAA5FDD"/>
    <w:rsid w:val="1BAD4429"/>
    <w:rsid w:val="1BB80557"/>
    <w:rsid w:val="1BBC1606"/>
    <w:rsid w:val="1BBC1F56"/>
    <w:rsid w:val="1BD91A80"/>
    <w:rsid w:val="1BE641ED"/>
    <w:rsid w:val="1BE816A6"/>
    <w:rsid w:val="1BEA0388"/>
    <w:rsid w:val="1BEE30A8"/>
    <w:rsid w:val="1BF24F3D"/>
    <w:rsid w:val="1BFD5FA2"/>
    <w:rsid w:val="1C0B0B13"/>
    <w:rsid w:val="1C1208F1"/>
    <w:rsid w:val="1C17197B"/>
    <w:rsid w:val="1C1D36F1"/>
    <w:rsid w:val="1C291BAA"/>
    <w:rsid w:val="1C3730C8"/>
    <w:rsid w:val="1C386892"/>
    <w:rsid w:val="1C4A2683"/>
    <w:rsid w:val="1C5F292D"/>
    <w:rsid w:val="1C5F3B2B"/>
    <w:rsid w:val="1C631E26"/>
    <w:rsid w:val="1C7530BF"/>
    <w:rsid w:val="1C9167EE"/>
    <w:rsid w:val="1C916922"/>
    <w:rsid w:val="1C9A167C"/>
    <w:rsid w:val="1CA238F1"/>
    <w:rsid w:val="1CAC1596"/>
    <w:rsid w:val="1CB33715"/>
    <w:rsid w:val="1CBC5611"/>
    <w:rsid w:val="1CBD133C"/>
    <w:rsid w:val="1CC66919"/>
    <w:rsid w:val="1CD22EF6"/>
    <w:rsid w:val="1CD345C5"/>
    <w:rsid w:val="1CD7177C"/>
    <w:rsid w:val="1CE479B7"/>
    <w:rsid w:val="1CF005FD"/>
    <w:rsid w:val="1CF6531E"/>
    <w:rsid w:val="1CF73467"/>
    <w:rsid w:val="1D0B195E"/>
    <w:rsid w:val="1D243745"/>
    <w:rsid w:val="1D3570D5"/>
    <w:rsid w:val="1D4E0EB2"/>
    <w:rsid w:val="1D57445C"/>
    <w:rsid w:val="1D693FA7"/>
    <w:rsid w:val="1D7C63EB"/>
    <w:rsid w:val="1D7D6636"/>
    <w:rsid w:val="1D7F59C3"/>
    <w:rsid w:val="1D7F7370"/>
    <w:rsid w:val="1D8A400C"/>
    <w:rsid w:val="1D8F4E65"/>
    <w:rsid w:val="1DB553DF"/>
    <w:rsid w:val="1DBF1882"/>
    <w:rsid w:val="1DC70ACB"/>
    <w:rsid w:val="1DF17BE1"/>
    <w:rsid w:val="1DFC1393"/>
    <w:rsid w:val="1E112162"/>
    <w:rsid w:val="1E1259E5"/>
    <w:rsid w:val="1E1C3D76"/>
    <w:rsid w:val="1E4719A3"/>
    <w:rsid w:val="1E5E2D02"/>
    <w:rsid w:val="1E5F1F97"/>
    <w:rsid w:val="1E685BCF"/>
    <w:rsid w:val="1E6C5F4E"/>
    <w:rsid w:val="1E800F1B"/>
    <w:rsid w:val="1E83119C"/>
    <w:rsid w:val="1E846C1E"/>
    <w:rsid w:val="1E8E1E01"/>
    <w:rsid w:val="1E9D4347"/>
    <w:rsid w:val="1E9E304B"/>
    <w:rsid w:val="1EA65561"/>
    <w:rsid w:val="1EAD4127"/>
    <w:rsid w:val="1EB41D2D"/>
    <w:rsid w:val="1EB70BD9"/>
    <w:rsid w:val="1EB8797A"/>
    <w:rsid w:val="1EBF418B"/>
    <w:rsid w:val="1EBF505E"/>
    <w:rsid w:val="1EDA6C33"/>
    <w:rsid w:val="1EEB081F"/>
    <w:rsid w:val="1EEC719E"/>
    <w:rsid w:val="1EF370A6"/>
    <w:rsid w:val="1EF7018A"/>
    <w:rsid w:val="1EF93593"/>
    <w:rsid w:val="1F0242AA"/>
    <w:rsid w:val="1F044236"/>
    <w:rsid w:val="1F0B4ACE"/>
    <w:rsid w:val="1F0E46BB"/>
    <w:rsid w:val="1F25251D"/>
    <w:rsid w:val="1F2B5438"/>
    <w:rsid w:val="1F2C5E9D"/>
    <w:rsid w:val="1F377BCE"/>
    <w:rsid w:val="1F390590"/>
    <w:rsid w:val="1F3E2BDD"/>
    <w:rsid w:val="1F424A01"/>
    <w:rsid w:val="1F4C6748"/>
    <w:rsid w:val="1F595467"/>
    <w:rsid w:val="1F5B2F4F"/>
    <w:rsid w:val="1F5C06A1"/>
    <w:rsid w:val="1F8350EC"/>
    <w:rsid w:val="1F890898"/>
    <w:rsid w:val="1F896D6A"/>
    <w:rsid w:val="1FAE5474"/>
    <w:rsid w:val="1FB80942"/>
    <w:rsid w:val="1FBB5482"/>
    <w:rsid w:val="1FBC5A21"/>
    <w:rsid w:val="1FD473C2"/>
    <w:rsid w:val="1FF977BD"/>
    <w:rsid w:val="2001262E"/>
    <w:rsid w:val="200D0CA3"/>
    <w:rsid w:val="200D64BE"/>
    <w:rsid w:val="20153599"/>
    <w:rsid w:val="20172295"/>
    <w:rsid w:val="201B2789"/>
    <w:rsid w:val="20256516"/>
    <w:rsid w:val="20546C98"/>
    <w:rsid w:val="20584BED"/>
    <w:rsid w:val="208D3C12"/>
    <w:rsid w:val="20907BA5"/>
    <w:rsid w:val="20AA65A3"/>
    <w:rsid w:val="20CB0AB1"/>
    <w:rsid w:val="20D60AAE"/>
    <w:rsid w:val="20FE18CB"/>
    <w:rsid w:val="21061BA2"/>
    <w:rsid w:val="2121427E"/>
    <w:rsid w:val="21262CBA"/>
    <w:rsid w:val="212B1C97"/>
    <w:rsid w:val="21361FB5"/>
    <w:rsid w:val="214B3D89"/>
    <w:rsid w:val="214E3823"/>
    <w:rsid w:val="21575426"/>
    <w:rsid w:val="215C1F77"/>
    <w:rsid w:val="216956DC"/>
    <w:rsid w:val="2177769E"/>
    <w:rsid w:val="217D437D"/>
    <w:rsid w:val="21816606"/>
    <w:rsid w:val="2184758B"/>
    <w:rsid w:val="21D25FF2"/>
    <w:rsid w:val="21E010BD"/>
    <w:rsid w:val="21F52495"/>
    <w:rsid w:val="21F70210"/>
    <w:rsid w:val="22054661"/>
    <w:rsid w:val="22286511"/>
    <w:rsid w:val="22344A9E"/>
    <w:rsid w:val="22363269"/>
    <w:rsid w:val="223B37F6"/>
    <w:rsid w:val="223C2DAF"/>
    <w:rsid w:val="223E2651"/>
    <w:rsid w:val="2248503C"/>
    <w:rsid w:val="224E39C0"/>
    <w:rsid w:val="225F2771"/>
    <w:rsid w:val="22616311"/>
    <w:rsid w:val="22635774"/>
    <w:rsid w:val="226575C4"/>
    <w:rsid w:val="22682C5C"/>
    <w:rsid w:val="226D3EEA"/>
    <w:rsid w:val="226E077B"/>
    <w:rsid w:val="2291610E"/>
    <w:rsid w:val="22923DE9"/>
    <w:rsid w:val="22962F20"/>
    <w:rsid w:val="22973417"/>
    <w:rsid w:val="229D5794"/>
    <w:rsid w:val="22A379E2"/>
    <w:rsid w:val="22A85F23"/>
    <w:rsid w:val="22C17DB5"/>
    <w:rsid w:val="22C629AC"/>
    <w:rsid w:val="22DD27AA"/>
    <w:rsid w:val="22E96F92"/>
    <w:rsid w:val="22FE0FF6"/>
    <w:rsid w:val="23060CEA"/>
    <w:rsid w:val="230D3451"/>
    <w:rsid w:val="230E5678"/>
    <w:rsid w:val="23210134"/>
    <w:rsid w:val="23257653"/>
    <w:rsid w:val="234022F3"/>
    <w:rsid w:val="23441FFA"/>
    <w:rsid w:val="234B3276"/>
    <w:rsid w:val="23773623"/>
    <w:rsid w:val="2377693D"/>
    <w:rsid w:val="23921869"/>
    <w:rsid w:val="23943633"/>
    <w:rsid w:val="239D39AC"/>
    <w:rsid w:val="239F724D"/>
    <w:rsid w:val="23AB1721"/>
    <w:rsid w:val="23E073EA"/>
    <w:rsid w:val="23EA577B"/>
    <w:rsid w:val="23EF0BE1"/>
    <w:rsid w:val="24002E5E"/>
    <w:rsid w:val="2401791F"/>
    <w:rsid w:val="240A022E"/>
    <w:rsid w:val="240A3AB2"/>
    <w:rsid w:val="24184673"/>
    <w:rsid w:val="24330154"/>
    <w:rsid w:val="24444377"/>
    <w:rsid w:val="2445130D"/>
    <w:rsid w:val="245A6743"/>
    <w:rsid w:val="246A08B9"/>
    <w:rsid w:val="24716CD9"/>
    <w:rsid w:val="247456DF"/>
    <w:rsid w:val="24754B15"/>
    <w:rsid w:val="247B459F"/>
    <w:rsid w:val="247E276B"/>
    <w:rsid w:val="247F64CC"/>
    <w:rsid w:val="248D420D"/>
    <w:rsid w:val="24921B27"/>
    <w:rsid w:val="249E0DC7"/>
    <w:rsid w:val="249E776E"/>
    <w:rsid w:val="24A0121D"/>
    <w:rsid w:val="24AE3BA0"/>
    <w:rsid w:val="24B97631"/>
    <w:rsid w:val="24BB25D0"/>
    <w:rsid w:val="24BE6532"/>
    <w:rsid w:val="24C90419"/>
    <w:rsid w:val="24CD087B"/>
    <w:rsid w:val="24E32289"/>
    <w:rsid w:val="24ED1C1E"/>
    <w:rsid w:val="24F0284D"/>
    <w:rsid w:val="24FF08CC"/>
    <w:rsid w:val="250A7DD1"/>
    <w:rsid w:val="250B627F"/>
    <w:rsid w:val="250E20E4"/>
    <w:rsid w:val="25120691"/>
    <w:rsid w:val="251B38EF"/>
    <w:rsid w:val="25202C91"/>
    <w:rsid w:val="25230CFB"/>
    <w:rsid w:val="252331A5"/>
    <w:rsid w:val="252733A0"/>
    <w:rsid w:val="25387E2E"/>
    <w:rsid w:val="25425A19"/>
    <w:rsid w:val="25437031"/>
    <w:rsid w:val="25490B3E"/>
    <w:rsid w:val="254F5042"/>
    <w:rsid w:val="2568016B"/>
    <w:rsid w:val="25695BEC"/>
    <w:rsid w:val="256F1A53"/>
    <w:rsid w:val="258B2F2B"/>
    <w:rsid w:val="258B31A0"/>
    <w:rsid w:val="25955750"/>
    <w:rsid w:val="25997A40"/>
    <w:rsid w:val="25AB3D1C"/>
    <w:rsid w:val="25AD773E"/>
    <w:rsid w:val="25C7728B"/>
    <w:rsid w:val="25D90A1B"/>
    <w:rsid w:val="25E22192"/>
    <w:rsid w:val="25E75557"/>
    <w:rsid w:val="25F320ED"/>
    <w:rsid w:val="25F332FF"/>
    <w:rsid w:val="25FE37D6"/>
    <w:rsid w:val="260D72CA"/>
    <w:rsid w:val="2620319C"/>
    <w:rsid w:val="26274BB6"/>
    <w:rsid w:val="26356536"/>
    <w:rsid w:val="264E2F62"/>
    <w:rsid w:val="26583CFB"/>
    <w:rsid w:val="265B4E67"/>
    <w:rsid w:val="266900A5"/>
    <w:rsid w:val="26754E25"/>
    <w:rsid w:val="26880E9B"/>
    <w:rsid w:val="268B243A"/>
    <w:rsid w:val="269C627F"/>
    <w:rsid w:val="26A050C5"/>
    <w:rsid w:val="26AA20D3"/>
    <w:rsid w:val="26AB6FD3"/>
    <w:rsid w:val="26B43DCE"/>
    <w:rsid w:val="26C705B0"/>
    <w:rsid w:val="26D339DB"/>
    <w:rsid w:val="26DD3B73"/>
    <w:rsid w:val="26E11F56"/>
    <w:rsid w:val="26E576C7"/>
    <w:rsid w:val="26F04260"/>
    <w:rsid w:val="26F81EB4"/>
    <w:rsid w:val="26FB2F1B"/>
    <w:rsid w:val="27075A64"/>
    <w:rsid w:val="271E1C7E"/>
    <w:rsid w:val="272027C9"/>
    <w:rsid w:val="27257211"/>
    <w:rsid w:val="27310B9A"/>
    <w:rsid w:val="273E1C11"/>
    <w:rsid w:val="27511867"/>
    <w:rsid w:val="275265C3"/>
    <w:rsid w:val="275E4DA2"/>
    <w:rsid w:val="276A4438"/>
    <w:rsid w:val="276B112C"/>
    <w:rsid w:val="276C3578"/>
    <w:rsid w:val="27720735"/>
    <w:rsid w:val="27815619"/>
    <w:rsid w:val="2788691C"/>
    <w:rsid w:val="278903CC"/>
    <w:rsid w:val="278E3373"/>
    <w:rsid w:val="278E6E55"/>
    <w:rsid w:val="27996AAE"/>
    <w:rsid w:val="279E2679"/>
    <w:rsid w:val="279F554C"/>
    <w:rsid w:val="27B02B7C"/>
    <w:rsid w:val="27C869D0"/>
    <w:rsid w:val="27D077AB"/>
    <w:rsid w:val="27D65541"/>
    <w:rsid w:val="27EC5FCE"/>
    <w:rsid w:val="28135739"/>
    <w:rsid w:val="281D195D"/>
    <w:rsid w:val="2841669A"/>
    <w:rsid w:val="28634544"/>
    <w:rsid w:val="286651CF"/>
    <w:rsid w:val="28671C46"/>
    <w:rsid w:val="2897657D"/>
    <w:rsid w:val="2899000A"/>
    <w:rsid w:val="28A028D3"/>
    <w:rsid w:val="28A56196"/>
    <w:rsid w:val="28AB19F4"/>
    <w:rsid w:val="28AF6CCE"/>
    <w:rsid w:val="28D71E0B"/>
    <w:rsid w:val="28DC39BE"/>
    <w:rsid w:val="28DC6898"/>
    <w:rsid w:val="28DD5BCB"/>
    <w:rsid w:val="28E01F8A"/>
    <w:rsid w:val="28EA3630"/>
    <w:rsid w:val="28F045AC"/>
    <w:rsid w:val="28F26258"/>
    <w:rsid w:val="28F315DC"/>
    <w:rsid w:val="290B3B64"/>
    <w:rsid w:val="291D583E"/>
    <w:rsid w:val="292D117C"/>
    <w:rsid w:val="294D204F"/>
    <w:rsid w:val="29602BC4"/>
    <w:rsid w:val="29870F2F"/>
    <w:rsid w:val="298F0A9C"/>
    <w:rsid w:val="299760C7"/>
    <w:rsid w:val="2999350D"/>
    <w:rsid w:val="299E7E78"/>
    <w:rsid w:val="29B66771"/>
    <w:rsid w:val="29B759BC"/>
    <w:rsid w:val="29BB777B"/>
    <w:rsid w:val="29C42F93"/>
    <w:rsid w:val="29D15BDF"/>
    <w:rsid w:val="29D222A8"/>
    <w:rsid w:val="29D60A95"/>
    <w:rsid w:val="29D94FA1"/>
    <w:rsid w:val="29DB09B9"/>
    <w:rsid w:val="29E31604"/>
    <w:rsid w:val="29F87E04"/>
    <w:rsid w:val="2A0475FF"/>
    <w:rsid w:val="2A06727F"/>
    <w:rsid w:val="2A0A04AA"/>
    <w:rsid w:val="2A1862A0"/>
    <w:rsid w:val="2A1A7BC7"/>
    <w:rsid w:val="2A1F23A7"/>
    <w:rsid w:val="2A220C75"/>
    <w:rsid w:val="2A2D73EC"/>
    <w:rsid w:val="2A2E4CEB"/>
    <w:rsid w:val="2A3B565F"/>
    <w:rsid w:val="2A653259"/>
    <w:rsid w:val="2A793292"/>
    <w:rsid w:val="2A8F4841"/>
    <w:rsid w:val="2AA369DD"/>
    <w:rsid w:val="2AAF4F9A"/>
    <w:rsid w:val="2AB84B24"/>
    <w:rsid w:val="2AD06022"/>
    <w:rsid w:val="2AD63975"/>
    <w:rsid w:val="2ADD1B0D"/>
    <w:rsid w:val="2ADF2DC8"/>
    <w:rsid w:val="2AE64773"/>
    <w:rsid w:val="2AEC47FC"/>
    <w:rsid w:val="2AF1331E"/>
    <w:rsid w:val="2AF81BE3"/>
    <w:rsid w:val="2AF926C9"/>
    <w:rsid w:val="2AFA02A2"/>
    <w:rsid w:val="2AFF23A5"/>
    <w:rsid w:val="2B211DC0"/>
    <w:rsid w:val="2B320F6B"/>
    <w:rsid w:val="2B361003"/>
    <w:rsid w:val="2B3762A6"/>
    <w:rsid w:val="2B3C6641"/>
    <w:rsid w:val="2B5B0F6E"/>
    <w:rsid w:val="2B605B83"/>
    <w:rsid w:val="2B6526BF"/>
    <w:rsid w:val="2B925FDF"/>
    <w:rsid w:val="2B9970F1"/>
    <w:rsid w:val="2BB65D1D"/>
    <w:rsid w:val="2BC27506"/>
    <w:rsid w:val="2BDF6B05"/>
    <w:rsid w:val="2BE501C7"/>
    <w:rsid w:val="2BED2E55"/>
    <w:rsid w:val="2C0122C3"/>
    <w:rsid w:val="2C013BC2"/>
    <w:rsid w:val="2C112457"/>
    <w:rsid w:val="2C1738CF"/>
    <w:rsid w:val="2C1945D8"/>
    <w:rsid w:val="2C2217C9"/>
    <w:rsid w:val="2C3818C8"/>
    <w:rsid w:val="2C3F19D9"/>
    <w:rsid w:val="2C6C7918"/>
    <w:rsid w:val="2C783906"/>
    <w:rsid w:val="2C942C30"/>
    <w:rsid w:val="2C9B4E03"/>
    <w:rsid w:val="2CA57E78"/>
    <w:rsid w:val="2CA8507A"/>
    <w:rsid w:val="2CA952D4"/>
    <w:rsid w:val="2CB5787B"/>
    <w:rsid w:val="2CBF13A5"/>
    <w:rsid w:val="2CCA4381"/>
    <w:rsid w:val="2CD10A17"/>
    <w:rsid w:val="2CD30F03"/>
    <w:rsid w:val="2CF249BE"/>
    <w:rsid w:val="2CF85053"/>
    <w:rsid w:val="2CFC1554"/>
    <w:rsid w:val="2CFF3512"/>
    <w:rsid w:val="2D0B7148"/>
    <w:rsid w:val="2D17770B"/>
    <w:rsid w:val="2D1E469A"/>
    <w:rsid w:val="2D287789"/>
    <w:rsid w:val="2D2E332F"/>
    <w:rsid w:val="2D354DCA"/>
    <w:rsid w:val="2D3C3C89"/>
    <w:rsid w:val="2D4360F1"/>
    <w:rsid w:val="2D4C4C78"/>
    <w:rsid w:val="2D6E6943"/>
    <w:rsid w:val="2D7746A6"/>
    <w:rsid w:val="2D7E4AF7"/>
    <w:rsid w:val="2D8519AC"/>
    <w:rsid w:val="2D875411"/>
    <w:rsid w:val="2D87777E"/>
    <w:rsid w:val="2D8A7365"/>
    <w:rsid w:val="2D8D3550"/>
    <w:rsid w:val="2D8E349F"/>
    <w:rsid w:val="2D9469E6"/>
    <w:rsid w:val="2D9774DB"/>
    <w:rsid w:val="2D9D7A77"/>
    <w:rsid w:val="2D9F156C"/>
    <w:rsid w:val="2DAF78FF"/>
    <w:rsid w:val="2DD072B5"/>
    <w:rsid w:val="2DD93F77"/>
    <w:rsid w:val="2DDC2E60"/>
    <w:rsid w:val="2DDE7A41"/>
    <w:rsid w:val="2DE23D77"/>
    <w:rsid w:val="2DEF20F0"/>
    <w:rsid w:val="2E035A56"/>
    <w:rsid w:val="2E041306"/>
    <w:rsid w:val="2E0745C9"/>
    <w:rsid w:val="2E106E4C"/>
    <w:rsid w:val="2E131AC5"/>
    <w:rsid w:val="2E2A44CC"/>
    <w:rsid w:val="2E422716"/>
    <w:rsid w:val="2E4C211D"/>
    <w:rsid w:val="2E4D7F49"/>
    <w:rsid w:val="2E4E05E7"/>
    <w:rsid w:val="2E4E1129"/>
    <w:rsid w:val="2E5B5EA2"/>
    <w:rsid w:val="2E6446EB"/>
    <w:rsid w:val="2E7F0E61"/>
    <w:rsid w:val="2E7F686F"/>
    <w:rsid w:val="2E814EDA"/>
    <w:rsid w:val="2E870765"/>
    <w:rsid w:val="2E8D0791"/>
    <w:rsid w:val="2E9B04A6"/>
    <w:rsid w:val="2E9B39A1"/>
    <w:rsid w:val="2EA51AE7"/>
    <w:rsid w:val="2EA96F98"/>
    <w:rsid w:val="2EBA6279"/>
    <w:rsid w:val="2EBC045D"/>
    <w:rsid w:val="2ED87AE7"/>
    <w:rsid w:val="2EF46E83"/>
    <w:rsid w:val="2EF57EDD"/>
    <w:rsid w:val="2F047EE8"/>
    <w:rsid w:val="2F085C75"/>
    <w:rsid w:val="2F0E473E"/>
    <w:rsid w:val="2F116436"/>
    <w:rsid w:val="2F2B12A9"/>
    <w:rsid w:val="2F3440DE"/>
    <w:rsid w:val="2F3A4309"/>
    <w:rsid w:val="2F626907"/>
    <w:rsid w:val="2F633507"/>
    <w:rsid w:val="2F633B47"/>
    <w:rsid w:val="2F933A9E"/>
    <w:rsid w:val="2F956224"/>
    <w:rsid w:val="2F970E99"/>
    <w:rsid w:val="2FA00F7A"/>
    <w:rsid w:val="2FA23A7C"/>
    <w:rsid w:val="2FA30525"/>
    <w:rsid w:val="2FB449B9"/>
    <w:rsid w:val="2FC254E7"/>
    <w:rsid w:val="2FC73BC7"/>
    <w:rsid w:val="2FD33F66"/>
    <w:rsid w:val="2FD408E0"/>
    <w:rsid w:val="2FD46948"/>
    <w:rsid w:val="2FDB4A4D"/>
    <w:rsid w:val="2FE311E4"/>
    <w:rsid w:val="2FF608DC"/>
    <w:rsid w:val="2FFD3FAC"/>
    <w:rsid w:val="30032CF9"/>
    <w:rsid w:val="3004586C"/>
    <w:rsid w:val="30075FDB"/>
    <w:rsid w:val="30160ACC"/>
    <w:rsid w:val="301A3977"/>
    <w:rsid w:val="3045081F"/>
    <w:rsid w:val="30457CC8"/>
    <w:rsid w:val="305F666A"/>
    <w:rsid w:val="306825DD"/>
    <w:rsid w:val="30814620"/>
    <w:rsid w:val="30834BF9"/>
    <w:rsid w:val="308D5EB4"/>
    <w:rsid w:val="30944718"/>
    <w:rsid w:val="3094583F"/>
    <w:rsid w:val="30B95EAB"/>
    <w:rsid w:val="30C01078"/>
    <w:rsid w:val="30CF0FD9"/>
    <w:rsid w:val="30D23125"/>
    <w:rsid w:val="30F34FAE"/>
    <w:rsid w:val="30FA42EA"/>
    <w:rsid w:val="312476AC"/>
    <w:rsid w:val="31325585"/>
    <w:rsid w:val="3133127A"/>
    <w:rsid w:val="31353CD7"/>
    <w:rsid w:val="313E4128"/>
    <w:rsid w:val="313E620E"/>
    <w:rsid w:val="313E6CDE"/>
    <w:rsid w:val="314C32D2"/>
    <w:rsid w:val="315D0B0B"/>
    <w:rsid w:val="31727F68"/>
    <w:rsid w:val="31753E13"/>
    <w:rsid w:val="317662E9"/>
    <w:rsid w:val="31832D2D"/>
    <w:rsid w:val="31954796"/>
    <w:rsid w:val="319566E7"/>
    <w:rsid w:val="31962DAE"/>
    <w:rsid w:val="319F0073"/>
    <w:rsid w:val="31B56BB4"/>
    <w:rsid w:val="31B9498A"/>
    <w:rsid w:val="31EE25F8"/>
    <w:rsid w:val="31F462C5"/>
    <w:rsid w:val="32044DED"/>
    <w:rsid w:val="320C562E"/>
    <w:rsid w:val="32296F5A"/>
    <w:rsid w:val="32462A55"/>
    <w:rsid w:val="324B22D2"/>
    <w:rsid w:val="32575E9A"/>
    <w:rsid w:val="325C3AF5"/>
    <w:rsid w:val="326225B7"/>
    <w:rsid w:val="327A0FE8"/>
    <w:rsid w:val="32931C47"/>
    <w:rsid w:val="329F241C"/>
    <w:rsid w:val="329F684F"/>
    <w:rsid w:val="32B26B6D"/>
    <w:rsid w:val="32C30926"/>
    <w:rsid w:val="32C83002"/>
    <w:rsid w:val="32C92CF9"/>
    <w:rsid w:val="32CE05D8"/>
    <w:rsid w:val="32D44E75"/>
    <w:rsid w:val="32E72810"/>
    <w:rsid w:val="32F96ACA"/>
    <w:rsid w:val="330258B3"/>
    <w:rsid w:val="330428CD"/>
    <w:rsid w:val="33054642"/>
    <w:rsid w:val="331039D5"/>
    <w:rsid w:val="33106E3B"/>
    <w:rsid w:val="332B5883"/>
    <w:rsid w:val="332C2B52"/>
    <w:rsid w:val="333E4968"/>
    <w:rsid w:val="334760AD"/>
    <w:rsid w:val="33597207"/>
    <w:rsid w:val="337E28B4"/>
    <w:rsid w:val="338F27B5"/>
    <w:rsid w:val="339461AC"/>
    <w:rsid w:val="33951969"/>
    <w:rsid w:val="339B5E01"/>
    <w:rsid w:val="33A31D7A"/>
    <w:rsid w:val="33C521FE"/>
    <w:rsid w:val="33D163EF"/>
    <w:rsid w:val="33D45DFD"/>
    <w:rsid w:val="33D622B7"/>
    <w:rsid w:val="33E11727"/>
    <w:rsid w:val="33E605A3"/>
    <w:rsid w:val="33E706E6"/>
    <w:rsid w:val="33F14703"/>
    <w:rsid w:val="33F7797D"/>
    <w:rsid w:val="3406027F"/>
    <w:rsid w:val="340C0F9D"/>
    <w:rsid w:val="3411487C"/>
    <w:rsid w:val="341E0B6A"/>
    <w:rsid w:val="34243449"/>
    <w:rsid w:val="342F05A9"/>
    <w:rsid w:val="34497B40"/>
    <w:rsid w:val="344F7E91"/>
    <w:rsid w:val="345B2367"/>
    <w:rsid w:val="3469060F"/>
    <w:rsid w:val="34797724"/>
    <w:rsid w:val="34812D29"/>
    <w:rsid w:val="34821147"/>
    <w:rsid w:val="348B5095"/>
    <w:rsid w:val="349C31F7"/>
    <w:rsid w:val="349E1E18"/>
    <w:rsid w:val="34A54544"/>
    <w:rsid w:val="34A5796A"/>
    <w:rsid w:val="34A85741"/>
    <w:rsid w:val="34AE0539"/>
    <w:rsid w:val="34BD4F1E"/>
    <w:rsid w:val="34C62452"/>
    <w:rsid w:val="34C65624"/>
    <w:rsid w:val="34CD5068"/>
    <w:rsid w:val="34CE2B5B"/>
    <w:rsid w:val="34E944F6"/>
    <w:rsid w:val="34E94AA0"/>
    <w:rsid w:val="34F431D8"/>
    <w:rsid w:val="34FF53FE"/>
    <w:rsid w:val="35072EAD"/>
    <w:rsid w:val="350960B1"/>
    <w:rsid w:val="35150114"/>
    <w:rsid w:val="351B6210"/>
    <w:rsid w:val="35217336"/>
    <w:rsid w:val="35290A77"/>
    <w:rsid w:val="352A0B4B"/>
    <w:rsid w:val="352C084C"/>
    <w:rsid w:val="35356F10"/>
    <w:rsid w:val="35371B3F"/>
    <w:rsid w:val="354840CB"/>
    <w:rsid w:val="35520D37"/>
    <w:rsid w:val="35524018"/>
    <w:rsid w:val="35577112"/>
    <w:rsid w:val="355C013C"/>
    <w:rsid w:val="3565420B"/>
    <w:rsid w:val="356A601B"/>
    <w:rsid w:val="356C0074"/>
    <w:rsid w:val="3570454A"/>
    <w:rsid w:val="3572634E"/>
    <w:rsid w:val="3583595D"/>
    <w:rsid w:val="35841013"/>
    <w:rsid w:val="358B79C9"/>
    <w:rsid w:val="358C5CCB"/>
    <w:rsid w:val="359A00B9"/>
    <w:rsid w:val="35AC461D"/>
    <w:rsid w:val="35C73445"/>
    <w:rsid w:val="35EE2B08"/>
    <w:rsid w:val="35F853BB"/>
    <w:rsid w:val="35F91A43"/>
    <w:rsid w:val="35FB1676"/>
    <w:rsid w:val="36033620"/>
    <w:rsid w:val="36133D69"/>
    <w:rsid w:val="361526DE"/>
    <w:rsid w:val="36225127"/>
    <w:rsid w:val="36237E20"/>
    <w:rsid w:val="36286678"/>
    <w:rsid w:val="363803C7"/>
    <w:rsid w:val="364542F2"/>
    <w:rsid w:val="3646059A"/>
    <w:rsid w:val="365607BB"/>
    <w:rsid w:val="367620D2"/>
    <w:rsid w:val="3689139F"/>
    <w:rsid w:val="369608CE"/>
    <w:rsid w:val="369B0A76"/>
    <w:rsid w:val="369B2954"/>
    <w:rsid w:val="36C1037B"/>
    <w:rsid w:val="36C739BA"/>
    <w:rsid w:val="36C82372"/>
    <w:rsid w:val="36D067A6"/>
    <w:rsid w:val="36DF16B9"/>
    <w:rsid w:val="36EF0F55"/>
    <w:rsid w:val="37070D11"/>
    <w:rsid w:val="370C03C2"/>
    <w:rsid w:val="37201F64"/>
    <w:rsid w:val="373F53DD"/>
    <w:rsid w:val="375948AC"/>
    <w:rsid w:val="375B6281"/>
    <w:rsid w:val="376B28D6"/>
    <w:rsid w:val="376C5D00"/>
    <w:rsid w:val="376E276D"/>
    <w:rsid w:val="3773054F"/>
    <w:rsid w:val="37872023"/>
    <w:rsid w:val="37911AD0"/>
    <w:rsid w:val="37A04E93"/>
    <w:rsid w:val="37A11C0A"/>
    <w:rsid w:val="37AA4F18"/>
    <w:rsid w:val="37B74D55"/>
    <w:rsid w:val="37DC0CC4"/>
    <w:rsid w:val="37DF54A6"/>
    <w:rsid w:val="37EA0A17"/>
    <w:rsid w:val="37F10B6F"/>
    <w:rsid w:val="37F510CB"/>
    <w:rsid w:val="380A7603"/>
    <w:rsid w:val="380B0BB2"/>
    <w:rsid w:val="380D32F1"/>
    <w:rsid w:val="380D5D0D"/>
    <w:rsid w:val="38240D05"/>
    <w:rsid w:val="3825549B"/>
    <w:rsid w:val="382F2C1E"/>
    <w:rsid w:val="383B271A"/>
    <w:rsid w:val="384D78BB"/>
    <w:rsid w:val="385122F2"/>
    <w:rsid w:val="38716CD9"/>
    <w:rsid w:val="387415AD"/>
    <w:rsid w:val="38801C6C"/>
    <w:rsid w:val="388075BE"/>
    <w:rsid w:val="38851608"/>
    <w:rsid w:val="38A45712"/>
    <w:rsid w:val="38A47DD9"/>
    <w:rsid w:val="38B04451"/>
    <w:rsid w:val="38C9778C"/>
    <w:rsid w:val="38CC35B4"/>
    <w:rsid w:val="38D10166"/>
    <w:rsid w:val="38EB6C6E"/>
    <w:rsid w:val="38EF30F5"/>
    <w:rsid w:val="38FB278B"/>
    <w:rsid w:val="39005416"/>
    <w:rsid w:val="392074F9"/>
    <w:rsid w:val="39207FD2"/>
    <w:rsid w:val="392A38E3"/>
    <w:rsid w:val="392F3EDF"/>
    <w:rsid w:val="3933207C"/>
    <w:rsid w:val="394B37F2"/>
    <w:rsid w:val="39532C2F"/>
    <w:rsid w:val="39985F30"/>
    <w:rsid w:val="39A52F17"/>
    <w:rsid w:val="39D3500A"/>
    <w:rsid w:val="39D96419"/>
    <w:rsid w:val="39E55169"/>
    <w:rsid w:val="39E84553"/>
    <w:rsid w:val="39E861B5"/>
    <w:rsid w:val="39F4018B"/>
    <w:rsid w:val="39F72E22"/>
    <w:rsid w:val="3A094E52"/>
    <w:rsid w:val="3A0C36D3"/>
    <w:rsid w:val="3A164EE9"/>
    <w:rsid w:val="3A174971"/>
    <w:rsid w:val="3A233308"/>
    <w:rsid w:val="3A273045"/>
    <w:rsid w:val="3A3E4729"/>
    <w:rsid w:val="3A476F2A"/>
    <w:rsid w:val="3A4C35D0"/>
    <w:rsid w:val="3A654202"/>
    <w:rsid w:val="3A675D63"/>
    <w:rsid w:val="3A684EE0"/>
    <w:rsid w:val="3A6C14CD"/>
    <w:rsid w:val="3A987DF1"/>
    <w:rsid w:val="3A9F7948"/>
    <w:rsid w:val="3AA02CE4"/>
    <w:rsid w:val="3AA628ED"/>
    <w:rsid w:val="3AAC6356"/>
    <w:rsid w:val="3AB23C38"/>
    <w:rsid w:val="3ABA4B72"/>
    <w:rsid w:val="3AC76FD5"/>
    <w:rsid w:val="3ACE1617"/>
    <w:rsid w:val="3AD31906"/>
    <w:rsid w:val="3AD76819"/>
    <w:rsid w:val="3AD969F8"/>
    <w:rsid w:val="3AE86B4C"/>
    <w:rsid w:val="3AF40348"/>
    <w:rsid w:val="3AFD1BC4"/>
    <w:rsid w:val="3B17529D"/>
    <w:rsid w:val="3B3368FE"/>
    <w:rsid w:val="3B356D77"/>
    <w:rsid w:val="3B3B2CBA"/>
    <w:rsid w:val="3B4C622A"/>
    <w:rsid w:val="3B624FFE"/>
    <w:rsid w:val="3B6A7A40"/>
    <w:rsid w:val="3B720C16"/>
    <w:rsid w:val="3B7F36AC"/>
    <w:rsid w:val="3B822235"/>
    <w:rsid w:val="3B861D2E"/>
    <w:rsid w:val="3B8E0546"/>
    <w:rsid w:val="3BC25680"/>
    <w:rsid w:val="3BCC25A9"/>
    <w:rsid w:val="3BCF352E"/>
    <w:rsid w:val="3BD34132"/>
    <w:rsid w:val="3BD653F5"/>
    <w:rsid w:val="3BDB3703"/>
    <w:rsid w:val="3BE16ECF"/>
    <w:rsid w:val="3BE7142E"/>
    <w:rsid w:val="3BFF6F27"/>
    <w:rsid w:val="3C095928"/>
    <w:rsid w:val="3C211965"/>
    <w:rsid w:val="3C3209A4"/>
    <w:rsid w:val="3C356755"/>
    <w:rsid w:val="3C365282"/>
    <w:rsid w:val="3C4B0ED5"/>
    <w:rsid w:val="3C8F5B6A"/>
    <w:rsid w:val="3C9C28DE"/>
    <w:rsid w:val="3CA91418"/>
    <w:rsid w:val="3CB064E9"/>
    <w:rsid w:val="3CBC1B56"/>
    <w:rsid w:val="3CBD75BF"/>
    <w:rsid w:val="3CC33BCC"/>
    <w:rsid w:val="3CD15DA5"/>
    <w:rsid w:val="3CD641A1"/>
    <w:rsid w:val="3CD71CB8"/>
    <w:rsid w:val="3CD97DC0"/>
    <w:rsid w:val="3CE2490A"/>
    <w:rsid w:val="3CEA648A"/>
    <w:rsid w:val="3CF036C8"/>
    <w:rsid w:val="3D0772FE"/>
    <w:rsid w:val="3D0E3159"/>
    <w:rsid w:val="3D146985"/>
    <w:rsid w:val="3D1502D9"/>
    <w:rsid w:val="3D46422A"/>
    <w:rsid w:val="3D555673"/>
    <w:rsid w:val="3D5657CC"/>
    <w:rsid w:val="3D5D2E26"/>
    <w:rsid w:val="3D6C09D0"/>
    <w:rsid w:val="3D71233A"/>
    <w:rsid w:val="3D876DDA"/>
    <w:rsid w:val="3D895D82"/>
    <w:rsid w:val="3D8E5ECA"/>
    <w:rsid w:val="3D902DB0"/>
    <w:rsid w:val="3DA24B18"/>
    <w:rsid w:val="3DA86637"/>
    <w:rsid w:val="3DAE0540"/>
    <w:rsid w:val="3DB21166"/>
    <w:rsid w:val="3DB52FFB"/>
    <w:rsid w:val="3DB932B8"/>
    <w:rsid w:val="3DBA2148"/>
    <w:rsid w:val="3DBA37DD"/>
    <w:rsid w:val="3DCC7E1D"/>
    <w:rsid w:val="3DDF3C84"/>
    <w:rsid w:val="3DF55B8D"/>
    <w:rsid w:val="3DF740D2"/>
    <w:rsid w:val="3DFB283E"/>
    <w:rsid w:val="3DFB4FDE"/>
    <w:rsid w:val="3E1B0B74"/>
    <w:rsid w:val="3E2942BE"/>
    <w:rsid w:val="3E300439"/>
    <w:rsid w:val="3E320B89"/>
    <w:rsid w:val="3E3906BC"/>
    <w:rsid w:val="3E4707A5"/>
    <w:rsid w:val="3E49293D"/>
    <w:rsid w:val="3E5111EB"/>
    <w:rsid w:val="3E5648B2"/>
    <w:rsid w:val="3E593782"/>
    <w:rsid w:val="3E684241"/>
    <w:rsid w:val="3E6E2D15"/>
    <w:rsid w:val="3E75521D"/>
    <w:rsid w:val="3E83245B"/>
    <w:rsid w:val="3E8412E9"/>
    <w:rsid w:val="3E8F10CC"/>
    <w:rsid w:val="3E9328AF"/>
    <w:rsid w:val="3E9571B9"/>
    <w:rsid w:val="3EB1094A"/>
    <w:rsid w:val="3EBC27E6"/>
    <w:rsid w:val="3EC2309F"/>
    <w:rsid w:val="3EDA442A"/>
    <w:rsid w:val="3EDA559F"/>
    <w:rsid w:val="3EDC10D0"/>
    <w:rsid w:val="3EE10368"/>
    <w:rsid w:val="3EF13BC7"/>
    <w:rsid w:val="3EF15E4C"/>
    <w:rsid w:val="3EF53D00"/>
    <w:rsid w:val="3EFA30C8"/>
    <w:rsid w:val="3EFB495F"/>
    <w:rsid w:val="3EFD36E5"/>
    <w:rsid w:val="3EFE4E31"/>
    <w:rsid w:val="3F066B6D"/>
    <w:rsid w:val="3F0C4369"/>
    <w:rsid w:val="3F0F6D90"/>
    <w:rsid w:val="3F1251CD"/>
    <w:rsid w:val="3F2E3EB1"/>
    <w:rsid w:val="3F2F53AA"/>
    <w:rsid w:val="3F3E0AC5"/>
    <w:rsid w:val="3F5D2E4D"/>
    <w:rsid w:val="3F5E7CFF"/>
    <w:rsid w:val="3F5F1F5C"/>
    <w:rsid w:val="3F6A5EE0"/>
    <w:rsid w:val="3F8A14CB"/>
    <w:rsid w:val="3F9E0865"/>
    <w:rsid w:val="3FA5009E"/>
    <w:rsid w:val="3FB86017"/>
    <w:rsid w:val="3FC962B1"/>
    <w:rsid w:val="3FD50D82"/>
    <w:rsid w:val="3FDB1475"/>
    <w:rsid w:val="3FDE5AD9"/>
    <w:rsid w:val="3FE06AEB"/>
    <w:rsid w:val="3FE56AF2"/>
    <w:rsid w:val="3FF15942"/>
    <w:rsid w:val="400739DE"/>
    <w:rsid w:val="401C7BD5"/>
    <w:rsid w:val="402417C8"/>
    <w:rsid w:val="40372073"/>
    <w:rsid w:val="40396BF8"/>
    <w:rsid w:val="403E6346"/>
    <w:rsid w:val="404F52A8"/>
    <w:rsid w:val="408753EB"/>
    <w:rsid w:val="40B6211F"/>
    <w:rsid w:val="40C2573C"/>
    <w:rsid w:val="40CA7DEF"/>
    <w:rsid w:val="40CE13E2"/>
    <w:rsid w:val="40D34024"/>
    <w:rsid w:val="40D43BA0"/>
    <w:rsid w:val="40DC106D"/>
    <w:rsid w:val="40E241CE"/>
    <w:rsid w:val="40EA78D7"/>
    <w:rsid w:val="40F90C23"/>
    <w:rsid w:val="410427B6"/>
    <w:rsid w:val="410E3E35"/>
    <w:rsid w:val="412912D7"/>
    <w:rsid w:val="413262C6"/>
    <w:rsid w:val="41366B89"/>
    <w:rsid w:val="41424C8E"/>
    <w:rsid w:val="41522AA3"/>
    <w:rsid w:val="415A3828"/>
    <w:rsid w:val="41643D6B"/>
    <w:rsid w:val="41771599"/>
    <w:rsid w:val="417A1383"/>
    <w:rsid w:val="41A04E11"/>
    <w:rsid w:val="41B119D5"/>
    <w:rsid w:val="41B53EC8"/>
    <w:rsid w:val="41B85F14"/>
    <w:rsid w:val="41BF7182"/>
    <w:rsid w:val="41D33655"/>
    <w:rsid w:val="41DB0F0D"/>
    <w:rsid w:val="41E64F8A"/>
    <w:rsid w:val="41F01FFD"/>
    <w:rsid w:val="41FF7556"/>
    <w:rsid w:val="420558C2"/>
    <w:rsid w:val="42057B28"/>
    <w:rsid w:val="420E1D6F"/>
    <w:rsid w:val="421052B2"/>
    <w:rsid w:val="42190CC2"/>
    <w:rsid w:val="42256110"/>
    <w:rsid w:val="422C131F"/>
    <w:rsid w:val="422F36E3"/>
    <w:rsid w:val="42391B89"/>
    <w:rsid w:val="42407C97"/>
    <w:rsid w:val="42433C14"/>
    <w:rsid w:val="42461EC8"/>
    <w:rsid w:val="42491125"/>
    <w:rsid w:val="424C2793"/>
    <w:rsid w:val="425B7242"/>
    <w:rsid w:val="425F740A"/>
    <w:rsid w:val="427A44C2"/>
    <w:rsid w:val="42880654"/>
    <w:rsid w:val="428D14EF"/>
    <w:rsid w:val="4296187E"/>
    <w:rsid w:val="42A65AF0"/>
    <w:rsid w:val="42AD56C6"/>
    <w:rsid w:val="42E17B48"/>
    <w:rsid w:val="42E874D3"/>
    <w:rsid w:val="42F300EE"/>
    <w:rsid w:val="42FF71DC"/>
    <w:rsid w:val="42FF7548"/>
    <w:rsid w:val="432B1FC3"/>
    <w:rsid w:val="433652EB"/>
    <w:rsid w:val="43453FEA"/>
    <w:rsid w:val="434D155D"/>
    <w:rsid w:val="435E53D9"/>
    <w:rsid w:val="436454E1"/>
    <w:rsid w:val="437A0D2C"/>
    <w:rsid w:val="438607EE"/>
    <w:rsid w:val="43911F91"/>
    <w:rsid w:val="4394491A"/>
    <w:rsid w:val="43984FD6"/>
    <w:rsid w:val="43997A97"/>
    <w:rsid w:val="43A2197F"/>
    <w:rsid w:val="43A5310A"/>
    <w:rsid w:val="43BD5DE5"/>
    <w:rsid w:val="43D65E39"/>
    <w:rsid w:val="43D6606E"/>
    <w:rsid w:val="43D70B4F"/>
    <w:rsid w:val="43E176EB"/>
    <w:rsid w:val="43FE3B45"/>
    <w:rsid w:val="440E72B6"/>
    <w:rsid w:val="441111D7"/>
    <w:rsid w:val="441303B5"/>
    <w:rsid w:val="441B2D48"/>
    <w:rsid w:val="441D0D39"/>
    <w:rsid w:val="444C64B0"/>
    <w:rsid w:val="444D54BA"/>
    <w:rsid w:val="44524527"/>
    <w:rsid w:val="44742FDB"/>
    <w:rsid w:val="447B4066"/>
    <w:rsid w:val="44861641"/>
    <w:rsid w:val="4496054C"/>
    <w:rsid w:val="449D508C"/>
    <w:rsid w:val="44AC00B9"/>
    <w:rsid w:val="44B15AF7"/>
    <w:rsid w:val="44B36E39"/>
    <w:rsid w:val="44CB2074"/>
    <w:rsid w:val="44D202F8"/>
    <w:rsid w:val="44D70EFD"/>
    <w:rsid w:val="44DE20FB"/>
    <w:rsid w:val="44DF3D8B"/>
    <w:rsid w:val="44E32791"/>
    <w:rsid w:val="44EA5165"/>
    <w:rsid w:val="44EC7013"/>
    <w:rsid w:val="44F02519"/>
    <w:rsid w:val="44F85B4A"/>
    <w:rsid w:val="44FB3AE3"/>
    <w:rsid w:val="44FF3C64"/>
    <w:rsid w:val="45061393"/>
    <w:rsid w:val="450A44F7"/>
    <w:rsid w:val="451220A8"/>
    <w:rsid w:val="45225AF9"/>
    <w:rsid w:val="453411E9"/>
    <w:rsid w:val="45353B4F"/>
    <w:rsid w:val="453B7947"/>
    <w:rsid w:val="453C63BD"/>
    <w:rsid w:val="45427AA4"/>
    <w:rsid w:val="454D3BBD"/>
    <w:rsid w:val="45515DC5"/>
    <w:rsid w:val="4553128E"/>
    <w:rsid w:val="455454A2"/>
    <w:rsid w:val="45564CA5"/>
    <w:rsid w:val="455B6233"/>
    <w:rsid w:val="456A6A48"/>
    <w:rsid w:val="456C211B"/>
    <w:rsid w:val="45751837"/>
    <w:rsid w:val="457C3D14"/>
    <w:rsid w:val="45865E2C"/>
    <w:rsid w:val="458D51A8"/>
    <w:rsid w:val="45911A43"/>
    <w:rsid w:val="45A16423"/>
    <w:rsid w:val="45A24E61"/>
    <w:rsid w:val="45B375E6"/>
    <w:rsid w:val="45B457B5"/>
    <w:rsid w:val="45B70D57"/>
    <w:rsid w:val="45DE2657"/>
    <w:rsid w:val="45F10EC5"/>
    <w:rsid w:val="45F95B5C"/>
    <w:rsid w:val="460F4303"/>
    <w:rsid w:val="46295027"/>
    <w:rsid w:val="462E7E70"/>
    <w:rsid w:val="463144E8"/>
    <w:rsid w:val="463C1AC9"/>
    <w:rsid w:val="464442C4"/>
    <w:rsid w:val="464D55E6"/>
    <w:rsid w:val="464E687C"/>
    <w:rsid w:val="4657560E"/>
    <w:rsid w:val="465F5501"/>
    <w:rsid w:val="466317E7"/>
    <w:rsid w:val="466E3CCD"/>
    <w:rsid w:val="4676381B"/>
    <w:rsid w:val="467744FD"/>
    <w:rsid w:val="467941F6"/>
    <w:rsid w:val="469559DB"/>
    <w:rsid w:val="469F5468"/>
    <w:rsid w:val="46A746F1"/>
    <w:rsid w:val="46A9603F"/>
    <w:rsid w:val="46AF30F0"/>
    <w:rsid w:val="46C42B9E"/>
    <w:rsid w:val="46D046FE"/>
    <w:rsid w:val="46E12276"/>
    <w:rsid w:val="46F03580"/>
    <w:rsid w:val="46F51A7F"/>
    <w:rsid w:val="4706377B"/>
    <w:rsid w:val="47140188"/>
    <w:rsid w:val="4714637D"/>
    <w:rsid w:val="471F4E9D"/>
    <w:rsid w:val="47261812"/>
    <w:rsid w:val="47280D0D"/>
    <w:rsid w:val="47443BDC"/>
    <w:rsid w:val="4745087C"/>
    <w:rsid w:val="47541F31"/>
    <w:rsid w:val="475F0C6A"/>
    <w:rsid w:val="476063A8"/>
    <w:rsid w:val="476B7898"/>
    <w:rsid w:val="47700B34"/>
    <w:rsid w:val="47736CA5"/>
    <w:rsid w:val="477A6B40"/>
    <w:rsid w:val="47862D65"/>
    <w:rsid w:val="479B7487"/>
    <w:rsid w:val="47B32E9C"/>
    <w:rsid w:val="47C3064B"/>
    <w:rsid w:val="47CA145E"/>
    <w:rsid w:val="47CA4519"/>
    <w:rsid w:val="47CA7FD6"/>
    <w:rsid w:val="47E00BD8"/>
    <w:rsid w:val="48020130"/>
    <w:rsid w:val="480B19F6"/>
    <w:rsid w:val="48212AE9"/>
    <w:rsid w:val="482728EE"/>
    <w:rsid w:val="485C2B97"/>
    <w:rsid w:val="486C4CE7"/>
    <w:rsid w:val="48782345"/>
    <w:rsid w:val="489713C3"/>
    <w:rsid w:val="48A262B1"/>
    <w:rsid w:val="48A61EC2"/>
    <w:rsid w:val="48A91244"/>
    <w:rsid w:val="48BA3284"/>
    <w:rsid w:val="48CB1CC0"/>
    <w:rsid w:val="49013C23"/>
    <w:rsid w:val="490A52ED"/>
    <w:rsid w:val="49121BEA"/>
    <w:rsid w:val="49163580"/>
    <w:rsid w:val="491E6E1E"/>
    <w:rsid w:val="491F7F64"/>
    <w:rsid w:val="492A1BD4"/>
    <w:rsid w:val="494552C4"/>
    <w:rsid w:val="494B4C4F"/>
    <w:rsid w:val="49582843"/>
    <w:rsid w:val="49733467"/>
    <w:rsid w:val="498B21B5"/>
    <w:rsid w:val="499872CD"/>
    <w:rsid w:val="49997039"/>
    <w:rsid w:val="49A418F2"/>
    <w:rsid w:val="49B73A15"/>
    <w:rsid w:val="49B947C8"/>
    <w:rsid w:val="49C8100A"/>
    <w:rsid w:val="49C91C9A"/>
    <w:rsid w:val="49E70C5B"/>
    <w:rsid w:val="49EC0159"/>
    <w:rsid w:val="49FF2037"/>
    <w:rsid w:val="4A0A7F62"/>
    <w:rsid w:val="4A143C42"/>
    <w:rsid w:val="4A1D00AC"/>
    <w:rsid w:val="4A270A04"/>
    <w:rsid w:val="4A414188"/>
    <w:rsid w:val="4A47591B"/>
    <w:rsid w:val="4A4C4C82"/>
    <w:rsid w:val="4A6F608D"/>
    <w:rsid w:val="4A712069"/>
    <w:rsid w:val="4A727A89"/>
    <w:rsid w:val="4A7346BA"/>
    <w:rsid w:val="4A885CE1"/>
    <w:rsid w:val="4A8D6109"/>
    <w:rsid w:val="4A9452E5"/>
    <w:rsid w:val="4A9F2D3A"/>
    <w:rsid w:val="4A9F427C"/>
    <w:rsid w:val="4A9F49CA"/>
    <w:rsid w:val="4AA8466E"/>
    <w:rsid w:val="4ABE4F66"/>
    <w:rsid w:val="4ABF0894"/>
    <w:rsid w:val="4ACA50C0"/>
    <w:rsid w:val="4ACB1EEA"/>
    <w:rsid w:val="4ACB6941"/>
    <w:rsid w:val="4ADB4E28"/>
    <w:rsid w:val="4AF16114"/>
    <w:rsid w:val="4AF51588"/>
    <w:rsid w:val="4AF75899"/>
    <w:rsid w:val="4AFA71F1"/>
    <w:rsid w:val="4B170E1E"/>
    <w:rsid w:val="4B1A46C6"/>
    <w:rsid w:val="4B2517BD"/>
    <w:rsid w:val="4B2C35A3"/>
    <w:rsid w:val="4B333D7A"/>
    <w:rsid w:val="4B3422A0"/>
    <w:rsid w:val="4B3756F4"/>
    <w:rsid w:val="4B3D3D17"/>
    <w:rsid w:val="4B4D3A8C"/>
    <w:rsid w:val="4B5523AC"/>
    <w:rsid w:val="4B637BDF"/>
    <w:rsid w:val="4B730042"/>
    <w:rsid w:val="4B946474"/>
    <w:rsid w:val="4BAC0F36"/>
    <w:rsid w:val="4BAD664B"/>
    <w:rsid w:val="4BAF3A38"/>
    <w:rsid w:val="4BB11B3A"/>
    <w:rsid w:val="4BB31E0A"/>
    <w:rsid w:val="4BC71F16"/>
    <w:rsid w:val="4BC74E08"/>
    <w:rsid w:val="4BCA04E6"/>
    <w:rsid w:val="4BD07997"/>
    <w:rsid w:val="4BD340CB"/>
    <w:rsid w:val="4BDF3E16"/>
    <w:rsid w:val="4BFC6546"/>
    <w:rsid w:val="4BFD7185"/>
    <w:rsid w:val="4C071CD8"/>
    <w:rsid w:val="4C1003D8"/>
    <w:rsid w:val="4C1E5E77"/>
    <w:rsid w:val="4C352DA8"/>
    <w:rsid w:val="4C366477"/>
    <w:rsid w:val="4C38466F"/>
    <w:rsid w:val="4C3F26D9"/>
    <w:rsid w:val="4C5237AB"/>
    <w:rsid w:val="4C671669"/>
    <w:rsid w:val="4C6F66E5"/>
    <w:rsid w:val="4C786851"/>
    <w:rsid w:val="4C804791"/>
    <w:rsid w:val="4C8D6069"/>
    <w:rsid w:val="4C942881"/>
    <w:rsid w:val="4CAF266F"/>
    <w:rsid w:val="4CB53967"/>
    <w:rsid w:val="4CB84644"/>
    <w:rsid w:val="4CC13ECD"/>
    <w:rsid w:val="4CD020F9"/>
    <w:rsid w:val="4CD53C2C"/>
    <w:rsid w:val="4D0B17EF"/>
    <w:rsid w:val="4D0E4802"/>
    <w:rsid w:val="4D1A110D"/>
    <w:rsid w:val="4D2F7723"/>
    <w:rsid w:val="4D337AB8"/>
    <w:rsid w:val="4D406BD1"/>
    <w:rsid w:val="4D5047B5"/>
    <w:rsid w:val="4D536CE8"/>
    <w:rsid w:val="4D605A45"/>
    <w:rsid w:val="4D63697D"/>
    <w:rsid w:val="4D76573F"/>
    <w:rsid w:val="4D786A89"/>
    <w:rsid w:val="4D7C07CD"/>
    <w:rsid w:val="4D831E51"/>
    <w:rsid w:val="4DA02384"/>
    <w:rsid w:val="4DA44E4F"/>
    <w:rsid w:val="4DAC067B"/>
    <w:rsid w:val="4DB33889"/>
    <w:rsid w:val="4DBF3E19"/>
    <w:rsid w:val="4DCE74AD"/>
    <w:rsid w:val="4DF31EEA"/>
    <w:rsid w:val="4DF37D3C"/>
    <w:rsid w:val="4DF521AC"/>
    <w:rsid w:val="4E0A2800"/>
    <w:rsid w:val="4E0D58C8"/>
    <w:rsid w:val="4E3162AA"/>
    <w:rsid w:val="4E324158"/>
    <w:rsid w:val="4E3D6F61"/>
    <w:rsid w:val="4E5079C5"/>
    <w:rsid w:val="4E623BD3"/>
    <w:rsid w:val="4E6B77B5"/>
    <w:rsid w:val="4E7906E7"/>
    <w:rsid w:val="4E837C45"/>
    <w:rsid w:val="4E901205"/>
    <w:rsid w:val="4E993495"/>
    <w:rsid w:val="4EA30D9D"/>
    <w:rsid w:val="4EA31AE4"/>
    <w:rsid w:val="4EB2058C"/>
    <w:rsid w:val="4EB60C48"/>
    <w:rsid w:val="4EC56995"/>
    <w:rsid w:val="4ED82367"/>
    <w:rsid w:val="4EDE0DE6"/>
    <w:rsid w:val="4EDE147E"/>
    <w:rsid w:val="4EEA3967"/>
    <w:rsid w:val="4EEF1B44"/>
    <w:rsid w:val="4EFC389E"/>
    <w:rsid w:val="4F0A27C3"/>
    <w:rsid w:val="4F0F005F"/>
    <w:rsid w:val="4F165D52"/>
    <w:rsid w:val="4F1B36C1"/>
    <w:rsid w:val="4F1D369F"/>
    <w:rsid w:val="4F213A90"/>
    <w:rsid w:val="4F290247"/>
    <w:rsid w:val="4F323CD2"/>
    <w:rsid w:val="4F332C0A"/>
    <w:rsid w:val="4F433DC8"/>
    <w:rsid w:val="4F473A60"/>
    <w:rsid w:val="4F4B51A5"/>
    <w:rsid w:val="4F5328A1"/>
    <w:rsid w:val="4F545D86"/>
    <w:rsid w:val="4F7E18D0"/>
    <w:rsid w:val="4F813B2E"/>
    <w:rsid w:val="4F871206"/>
    <w:rsid w:val="4F9B5FF9"/>
    <w:rsid w:val="4FA14EEC"/>
    <w:rsid w:val="4FA407B6"/>
    <w:rsid w:val="4FA84227"/>
    <w:rsid w:val="4FAF6B47"/>
    <w:rsid w:val="4FBF4BE3"/>
    <w:rsid w:val="4FC231DA"/>
    <w:rsid w:val="4FC3075F"/>
    <w:rsid w:val="4FE223EE"/>
    <w:rsid w:val="4FE3097A"/>
    <w:rsid w:val="4FFD3A77"/>
    <w:rsid w:val="4FFD46C8"/>
    <w:rsid w:val="50020B50"/>
    <w:rsid w:val="501F4F53"/>
    <w:rsid w:val="501F59A7"/>
    <w:rsid w:val="50290A0F"/>
    <w:rsid w:val="503642D7"/>
    <w:rsid w:val="503D3F59"/>
    <w:rsid w:val="50527440"/>
    <w:rsid w:val="50650862"/>
    <w:rsid w:val="50681179"/>
    <w:rsid w:val="50737B8A"/>
    <w:rsid w:val="5095674A"/>
    <w:rsid w:val="509A584B"/>
    <w:rsid w:val="50A01EE7"/>
    <w:rsid w:val="50A6221C"/>
    <w:rsid w:val="50AC4C20"/>
    <w:rsid w:val="50B61B8B"/>
    <w:rsid w:val="50B928D0"/>
    <w:rsid w:val="50C13C5F"/>
    <w:rsid w:val="50C15C83"/>
    <w:rsid w:val="50C16C1C"/>
    <w:rsid w:val="50C577D9"/>
    <w:rsid w:val="50E00158"/>
    <w:rsid w:val="50E8434B"/>
    <w:rsid w:val="50F0291C"/>
    <w:rsid w:val="50F5073D"/>
    <w:rsid w:val="510703FD"/>
    <w:rsid w:val="51183F80"/>
    <w:rsid w:val="51201CFF"/>
    <w:rsid w:val="5128521D"/>
    <w:rsid w:val="51286AE9"/>
    <w:rsid w:val="514C5F8F"/>
    <w:rsid w:val="51617293"/>
    <w:rsid w:val="516C5BB7"/>
    <w:rsid w:val="517A4EB9"/>
    <w:rsid w:val="51881606"/>
    <w:rsid w:val="518E2820"/>
    <w:rsid w:val="51915172"/>
    <w:rsid w:val="51AC5137"/>
    <w:rsid w:val="51AD6837"/>
    <w:rsid w:val="51B463DB"/>
    <w:rsid w:val="51B6149B"/>
    <w:rsid w:val="51C31254"/>
    <w:rsid w:val="51C979DD"/>
    <w:rsid w:val="51E03964"/>
    <w:rsid w:val="520A22AE"/>
    <w:rsid w:val="520D1EAA"/>
    <w:rsid w:val="52247A0F"/>
    <w:rsid w:val="52337DB7"/>
    <w:rsid w:val="52383966"/>
    <w:rsid w:val="52385792"/>
    <w:rsid w:val="523A610D"/>
    <w:rsid w:val="523D42DD"/>
    <w:rsid w:val="523F6AFF"/>
    <w:rsid w:val="52432384"/>
    <w:rsid w:val="524F31BF"/>
    <w:rsid w:val="52514A0D"/>
    <w:rsid w:val="5273265C"/>
    <w:rsid w:val="528506DC"/>
    <w:rsid w:val="52853336"/>
    <w:rsid w:val="52881D50"/>
    <w:rsid w:val="52991222"/>
    <w:rsid w:val="529B3EC4"/>
    <w:rsid w:val="529C7876"/>
    <w:rsid w:val="529F18E6"/>
    <w:rsid w:val="52BB569C"/>
    <w:rsid w:val="52D65176"/>
    <w:rsid w:val="52DB19FD"/>
    <w:rsid w:val="52EE339D"/>
    <w:rsid w:val="530147A3"/>
    <w:rsid w:val="5306292A"/>
    <w:rsid w:val="530822C8"/>
    <w:rsid w:val="53132A5C"/>
    <w:rsid w:val="5314426D"/>
    <w:rsid w:val="53324996"/>
    <w:rsid w:val="533A4153"/>
    <w:rsid w:val="533E1E81"/>
    <w:rsid w:val="53462EAB"/>
    <w:rsid w:val="53560736"/>
    <w:rsid w:val="536F3F83"/>
    <w:rsid w:val="536F7061"/>
    <w:rsid w:val="53703E8D"/>
    <w:rsid w:val="53707DDE"/>
    <w:rsid w:val="537A3091"/>
    <w:rsid w:val="537E0058"/>
    <w:rsid w:val="53950AA6"/>
    <w:rsid w:val="53BF5670"/>
    <w:rsid w:val="53C502CE"/>
    <w:rsid w:val="53CD3C00"/>
    <w:rsid w:val="53D02F55"/>
    <w:rsid w:val="53E12D9E"/>
    <w:rsid w:val="53E64B1C"/>
    <w:rsid w:val="53E8652B"/>
    <w:rsid w:val="53EA723C"/>
    <w:rsid w:val="53EB486A"/>
    <w:rsid w:val="53EE67E9"/>
    <w:rsid w:val="53EF0DBE"/>
    <w:rsid w:val="53FD1C03"/>
    <w:rsid w:val="54020BC2"/>
    <w:rsid w:val="540310FA"/>
    <w:rsid w:val="54037045"/>
    <w:rsid w:val="540817F6"/>
    <w:rsid w:val="541212FA"/>
    <w:rsid w:val="54270E2A"/>
    <w:rsid w:val="54281936"/>
    <w:rsid w:val="543E515D"/>
    <w:rsid w:val="543F413B"/>
    <w:rsid w:val="544B0D54"/>
    <w:rsid w:val="544C2897"/>
    <w:rsid w:val="54591CDE"/>
    <w:rsid w:val="54625354"/>
    <w:rsid w:val="54637DFF"/>
    <w:rsid w:val="54664607"/>
    <w:rsid w:val="54843BB7"/>
    <w:rsid w:val="54984A43"/>
    <w:rsid w:val="54AE27FD"/>
    <w:rsid w:val="54C449A1"/>
    <w:rsid w:val="54C557E7"/>
    <w:rsid w:val="54C65EC0"/>
    <w:rsid w:val="54D06235"/>
    <w:rsid w:val="54D43100"/>
    <w:rsid w:val="54F87B39"/>
    <w:rsid w:val="55187800"/>
    <w:rsid w:val="551A610F"/>
    <w:rsid w:val="552557D6"/>
    <w:rsid w:val="552760F6"/>
    <w:rsid w:val="552A09F4"/>
    <w:rsid w:val="552D2D4B"/>
    <w:rsid w:val="5532296D"/>
    <w:rsid w:val="55372936"/>
    <w:rsid w:val="553C3366"/>
    <w:rsid w:val="55465E74"/>
    <w:rsid w:val="55472CA4"/>
    <w:rsid w:val="555154EE"/>
    <w:rsid w:val="5556068C"/>
    <w:rsid w:val="558F4A1E"/>
    <w:rsid w:val="55942252"/>
    <w:rsid w:val="55987FBD"/>
    <w:rsid w:val="559A4E37"/>
    <w:rsid w:val="55B41C64"/>
    <w:rsid w:val="55CB3ECF"/>
    <w:rsid w:val="55EC2897"/>
    <w:rsid w:val="55FA242D"/>
    <w:rsid w:val="560378AC"/>
    <w:rsid w:val="56073E8B"/>
    <w:rsid w:val="5624057A"/>
    <w:rsid w:val="5630640C"/>
    <w:rsid w:val="5635357E"/>
    <w:rsid w:val="5652120D"/>
    <w:rsid w:val="5652511E"/>
    <w:rsid w:val="56543A0D"/>
    <w:rsid w:val="566B50BC"/>
    <w:rsid w:val="56743063"/>
    <w:rsid w:val="569E1AC8"/>
    <w:rsid w:val="56A4132F"/>
    <w:rsid w:val="56A81C8B"/>
    <w:rsid w:val="56AC279F"/>
    <w:rsid w:val="56AF2E6F"/>
    <w:rsid w:val="56B4565D"/>
    <w:rsid w:val="56BB7AC5"/>
    <w:rsid w:val="56CB5788"/>
    <w:rsid w:val="56D952A8"/>
    <w:rsid w:val="56DB3D0C"/>
    <w:rsid w:val="56DC160C"/>
    <w:rsid w:val="56DF0963"/>
    <w:rsid w:val="56E2575C"/>
    <w:rsid w:val="56F37D3E"/>
    <w:rsid w:val="56F473C0"/>
    <w:rsid w:val="56FD3D8C"/>
    <w:rsid w:val="57065F83"/>
    <w:rsid w:val="57090CD1"/>
    <w:rsid w:val="57097BE4"/>
    <w:rsid w:val="570B6550"/>
    <w:rsid w:val="57196157"/>
    <w:rsid w:val="571B2939"/>
    <w:rsid w:val="57245405"/>
    <w:rsid w:val="573E554E"/>
    <w:rsid w:val="57484C26"/>
    <w:rsid w:val="5758628A"/>
    <w:rsid w:val="575A0C81"/>
    <w:rsid w:val="57617889"/>
    <w:rsid w:val="57713185"/>
    <w:rsid w:val="57745BB6"/>
    <w:rsid w:val="57855787"/>
    <w:rsid w:val="578A1BF3"/>
    <w:rsid w:val="57925A39"/>
    <w:rsid w:val="57A04D4E"/>
    <w:rsid w:val="57A77F5C"/>
    <w:rsid w:val="57B02739"/>
    <w:rsid w:val="57B53ED9"/>
    <w:rsid w:val="57BD6C04"/>
    <w:rsid w:val="57C51573"/>
    <w:rsid w:val="57D6036B"/>
    <w:rsid w:val="57DE28CC"/>
    <w:rsid w:val="57FF606E"/>
    <w:rsid w:val="580716CC"/>
    <w:rsid w:val="58076362"/>
    <w:rsid w:val="58106307"/>
    <w:rsid w:val="58220A26"/>
    <w:rsid w:val="58381DBD"/>
    <w:rsid w:val="58394C38"/>
    <w:rsid w:val="58423CCA"/>
    <w:rsid w:val="584921F7"/>
    <w:rsid w:val="584B7C06"/>
    <w:rsid w:val="58510290"/>
    <w:rsid w:val="58553705"/>
    <w:rsid w:val="5855370B"/>
    <w:rsid w:val="58590F71"/>
    <w:rsid w:val="58695A9C"/>
    <w:rsid w:val="58774DB2"/>
    <w:rsid w:val="58B31DD9"/>
    <w:rsid w:val="58B91125"/>
    <w:rsid w:val="58C64CF3"/>
    <w:rsid w:val="58CB3B78"/>
    <w:rsid w:val="58D21B64"/>
    <w:rsid w:val="58E1168D"/>
    <w:rsid w:val="58EE2472"/>
    <w:rsid w:val="58F22C4C"/>
    <w:rsid w:val="58FD4709"/>
    <w:rsid w:val="590D2328"/>
    <w:rsid w:val="590F51DD"/>
    <w:rsid w:val="59122A32"/>
    <w:rsid w:val="59232C0B"/>
    <w:rsid w:val="593A62F9"/>
    <w:rsid w:val="594D06B7"/>
    <w:rsid w:val="5952037F"/>
    <w:rsid w:val="59561B11"/>
    <w:rsid w:val="59600D8B"/>
    <w:rsid w:val="598D03EC"/>
    <w:rsid w:val="598D7696"/>
    <w:rsid w:val="59970566"/>
    <w:rsid w:val="59993E04"/>
    <w:rsid w:val="599C0038"/>
    <w:rsid w:val="599C7113"/>
    <w:rsid w:val="59C35A05"/>
    <w:rsid w:val="59C43D4D"/>
    <w:rsid w:val="59C51FD2"/>
    <w:rsid w:val="59C83A39"/>
    <w:rsid w:val="59FA4F2E"/>
    <w:rsid w:val="59FB18DA"/>
    <w:rsid w:val="5A0554BD"/>
    <w:rsid w:val="5A1E308F"/>
    <w:rsid w:val="5A22286F"/>
    <w:rsid w:val="5A261DCD"/>
    <w:rsid w:val="5A361544"/>
    <w:rsid w:val="5A3F108A"/>
    <w:rsid w:val="5A420BA5"/>
    <w:rsid w:val="5A463D28"/>
    <w:rsid w:val="5A587CD5"/>
    <w:rsid w:val="5A5B363C"/>
    <w:rsid w:val="5A5C45C2"/>
    <w:rsid w:val="5A680CD4"/>
    <w:rsid w:val="5A6B5717"/>
    <w:rsid w:val="5A6D76C0"/>
    <w:rsid w:val="5A723A0D"/>
    <w:rsid w:val="5A762255"/>
    <w:rsid w:val="5A833B0D"/>
    <w:rsid w:val="5A9D621A"/>
    <w:rsid w:val="5AB17106"/>
    <w:rsid w:val="5AC219D6"/>
    <w:rsid w:val="5AC36F56"/>
    <w:rsid w:val="5ACF2987"/>
    <w:rsid w:val="5ACF40CD"/>
    <w:rsid w:val="5ACF53EE"/>
    <w:rsid w:val="5AD03C8C"/>
    <w:rsid w:val="5AE91F64"/>
    <w:rsid w:val="5AEA4836"/>
    <w:rsid w:val="5AFD3B96"/>
    <w:rsid w:val="5B0C640C"/>
    <w:rsid w:val="5B2D305D"/>
    <w:rsid w:val="5B443E9C"/>
    <w:rsid w:val="5B4F1FDC"/>
    <w:rsid w:val="5B707739"/>
    <w:rsid w:val="5B956906"/>
    <w:rsid w:val="5BA657F5"/>
    <w:rsid w:val="5BC24519"/>
    <w:rsid w:val="5BC92512"/>
    <w:rsid w:val="5BCA5D03"/>
    <w:rsid w:val="5BCE4EA4"/>
    <w:rsid w:val="5BD209C4"/>
    <w:rsid w:val="5BD57CB7"/>
    <w:rsid w:val="5BD637EC"/>
    <w:rsid w:val="5BDE5A43"/>
    <w:rsid w:val="5BE0323A"/>
    <w:rsid w:val="5BE770AE"/>
    <w:rsid w:val="5C1B7F5F"/>
    <w:rsid w:val="5C34166A"/>
    <w:rsid w:val="5C42366F"/>
    <w:rsid w:val="5C4A36B7"/>
    <w:rsid w:val="5C4E44D4"/>
    <w:rsid w:val="5C4F66E0"/>
    <w:rsid w:val="5C5552A6"/>
    <w:rsid w:val="5C7F0150"/>
    <w:rsid w:val="5C944872"/>
    <w:rsid w:val="5CD7479C"/>
    <w:rsid w:val="5CE536CF"/>
    <w:rsid w:val="5CE568F8"/>
    <w:rsid w:val="5CEF3C87"/>
    <w:rsid w:val="5CF33064"/>
    <w:rsid w:val="5D055E2A"/>
    <w:rsid w:val="5D0576C4"/>
    <w:rsid w:val="5D1715C8"/>
    <w:rsid w:val="5D230368"/>
    <w:rsid w:val="5D255730"/>
    <w:rsid w:val="5D3D4EE6"/>
    <w:rsid w:val="5D43549E"/>
    <w:rsid w:val="5D5667E0"/>
    <w:rsid w:val="5D580881"/>
    <w:rsid w:val="5D6261CB"/>
    <w:rsid w:val="5D633394"/>
    <w:rsid w:val="5D9C7622"/>
    <w:rsid w:val="5D9D64F0"/>
    <w:rsid w:val="5DA13534"/>
    <w:rsid w:val="5DBD2E94"/>
    <w:rsid w:val="5DCB56EC"/>
    <w:rsid w:val="5DD3703F"/>
    <w:rsid w:val="5DDB6067"/>
    <w:rsid w:val="5DE448D2"/>
    <w:rsid w:val="5DE62F1A"/>
    <w:rsid w:val="5DF441FF"/>
    <w:rsid w:val="5E001B61"/>
    <w:rsid w:val="5E1463C6"/>
    <w:rsid w:val="5E153A69"/>
    <w:rsid w:val="5E285722"/>
    <w:rsid w:val="5E3B4D31"/>
    <w:rsid w:val="5E3E65D1"/>
    <w:rsid w:val="5E4B7A1D"/>
    <w:rsid w:val="5E50050F"/>
    <w:rsid w:val="5E5D04EF"/>
    <w:rsid w:val="5E6160E7"/>
    <w:rsid w:val="5E68591D"/>
    <w:rsid w:val="5E731D18"/>
    <w:rsid w:val="5E742249"/>
    <w:rsid w:val="5E754D87"/>
    <w:rsid w:val="5E9E597C"/>
    <w:rsid w:val="5EA15379"/>
    <w:rsid w:val="5EA97C8F"/>
    <w:rsid w:val="5EAD0156"/>
    <w:rsid w:val="5EC16D37"/>
    <w:rsid w:val="5ECA3DF8"/>
    <w:rsid w:val="5ECE195E"/>
    <w:rsid w:val="5ED22BFF"/>
    <w:rsid w:val="5EDB5D3F"/>
    <w:rsid w:val="5EDD34B2"/>
    <w:rsid w:val="5EED3932"/>
    <w:rsid w:val="5F0031E1"/>
    <w:rsid w:val="5F0936DE"/>
    <w:rsid w:val="5F107184"/>
    <w:rsid w:val="5F132B6E"/>
    <w:rsid w:val="5F165565"/>
    <w:rsid w:val="5F171517"/>
    <w:rsid w:val="5F190554"/>
    <w:rsid w:val="5F401ED1"/>
    <w:rsid w:val="5F621191"/>
    <w:rsid w:val="5F62295E"/>
    <w:rsid w:val="5F700C2B"/>
    <w:rsid w:val="5F721C1C"/>
    <w:rsid w:val="5F7D16C2"/>
    <w:rsid w:val="5F892553"/>
    <w:rsid w:val="5FAB77AE"/>
    <w:rsid w:val="5FB301BB"/>
    <w:rsid w:val="5FBE3DAA"/>
    <w:rsid w:val="5FC559AE"/>
    <w:rsid w:val="5FCF7A4A"/>
    <w:rsid w:val="5FED10F1"/>
    <w:rsid w:val="600A2C1F"/>
    <w:rsid w:val="600A6271"/>
    <w:rsid w:val="602D3D16"/>
    <w:rsid w:val="60357E4D"/>
    <w:rsid w:val="60417832"/>
    <w:rsid w:val="60443CFE"/>
    <w:rsid w:val="6046706E"/>
    <w:rsid w:val="60492B3E"/>
    <w:rsid w:val="604C110A"/>
    <w:rsid w:val="60565E64"/>
    <w:rsid w:val="60617E4E"/>
    <w:rsid w:val="6089047C"/>
    <w:rsid w:val="608D4CE3"/>
    <w:rsid w:val="60A859A2"/>
    <w:rsid w:val="60AB29AA"/>
    <w:rsid w:val="60AC67BD"/>
    <w:rsid w:val="60C06489"/>
    <w:rsid w:val="60CE2A0E"/>
    <w:rsid w:val="60D80CEE"/>
    <w:rsid w:val="60E045DF"/>
    <w:rsid w:val="611159D0"/>
    <w:rsid w:val="611D5644"/>
    <w:rsid w:val="61204933"/>
    <w:rsid w:val="612354B4"/>
    <w:rsid w:val="61351A56"/>
    <w:rsid w:val="61385890"/>
    <w:rsid w:val="613E3F16"/>
    <w:rsid w:val="613F62A8"/>
    <w:rsid w:val="61415F87"/>
    <w:rsid w:val="614A51BA"/>
    <w:rsid w:val="615A223E"/>
    <w:rsid w:val="615B47A6"/>
    <w:rsid w:val="615E224C"/>
    <w:rsid w:val="615F5027"/>
    <w:rsid w:val="616435A6"/>
    <w:rsid w:val="61765A6E"/>
    <w:rsid w:val="61942A20"/>
    <w:rsid w:val="619940E6"/>
    <w:rsid w:val="61A6014E"/>
    <w:rsid w:val="61A85B43"/>
    <w:rsid w:val="61D63921"/>
    <w:rsid w:val="61DB724C"/>
    <w:rsid w:val="61E01520"/>
    <w:rsid w:val="61F439C5"/>
    <w:rsid w:val="61F443E9"/>
    <w:rsid w:val="61F61B0C"/>
    <w:rsid w:val="61F84262"/>
    <w:rsid w:val="62213533"/>
    <w:rsid w:val="62270D05"/>
    <w:rsid w:val="62282D1D"/>
    <w:rsid w:val="623F2BBF"/>
    <w:rsid w:val="62461BF2"/>
    <w:rsid w:val="624D1061"/>
    <w:rsid w:val="62607426"/>
    <w:rsid w:val="62867444"/>
    <w:rsid w:val="628B741B"/>
    <w:rsid w:val="629810C3"/>
    <w:rsid w:val="629D7EE8"/>
    <w:rsid w:val="62BC107A"/>
    <w:rsid w:val="62C73A65"/>
    <w:rsid w:val="62D50998"/>
    <w:rsid w:val="62E7507D"/>
    <w:rsid w:val="62F67597"/>
    <w:rsid w:val="63026180"/>
    <w:rsid w:val="63056D1B"/>
    <w:rsid w:val="630C34D0"/>
    <w:rsid w:val="631E48B7"/>
    <w:rsid w:val="6322080B"/>
    <w:rsid w:val="632921B9"/>
    <w:rsid w:val="632E6C44"/>
    <w:rsid w:val="63351E52"/>
    <w:rsid w:val="633B5CA5"/>
    <w:rsid w:val="633F4960"/>
    <w:rsid w:val="635F6BBD"/>
    <w:rsid w:val="637473B8"/>
    <w:rsid w:val="6388340F"/>
    <w:rsid w:val="638C5281"/>
    <w:rsid w:val="638F7AFC"/>
    <w:rsid w:val="639215D8"/>
    <w:rsid w:val="63A14DDA"/>
    <w:rsid w:val="63A36BE5"/>
    <w:rsid w:val="63C04B8A"/>
    <w:rsid w:val="63D42229"/>
    <w:rsid w:val="63D63C65"/>
    <w:rsid w:val="63D8474D"/>
    <w:rsid w:val="63DB746A"/>
    <w:rsid w:val="63E5033D"/>
    <w:rsid w:val="63EE162B"/>
    <w:rsid w:val="63EE37FF"/>
    <w:rsid w:val="63F75B8A"/>
    <w:rsid w:val="640310C7"/>
    <w:rsid w:val="640F0C5E"/>
    <w:rsid w:val="64155C8D"/>
    <w:rsid w:val="641B0760"/>
    <w:rsid w:val="641D74E0"/>
    <w:rsid w:val="641E1DE4"/>
    <w:rsid w:val="64203CB4"/>
    <w:rsid w:val="64222857"/>
    <w:rsid w:val="642E206A"/>
    <w:rsid w:val="64335EB1"/>
    <w:rsid w:val="643519B3"/>
    <w:rsid w:val="64430D0B"/>
    <w:rsid w:val="64433CD0"/>
    <w:rsid w:val="64495F72"/>
    <w:rsid w:val="644B25BC"/>
    <w:rsid w:val="64570B28"/>
    <w:rsid w:val="64580D33"/>
    <w:rsid w:val="646754AC"/>
    <w:rsid w:val="646856C7"/>
    <w:rsid w:val="646A444D"/>
    <w:rsid w:val="647F6D16"/>
    <w:rsid w:val="64844824"/>
    <w:rsid w:val="64976216"/>
    <w:rsid w:val="6498217B"/>
    <w:rsid w:val="64987FF4"/>
    <w:rsid w:val="64A23830"/>
    <w:rsid w:val="64A473F3"/>
    <w:rsid w:val="64CA7CEA"/>
    <w:rsid w:val="64CC2606"/>
    <w:rsid w:val="64D0513C"/>
    <w:rsid w:val="64D423E2"/>
    <w:rsid w:val="64DD3E8A"/>
    <w:rsid w:val="64EB1866"/>
    <w:rsid w:val="64F702F2"/>
    <w:rsid w:val="651424EE"/>
    <w:rsid w:val="651F2C77"/>
    <w:rsid w:val="65210062"/>
    <w:rsid w:val="65257BC1"/>
    <w:rsid w:val="65287A29"/>
    <w:rsid w:val="65297D03"/>
    <w:rsid w:val="653A2B4E"/>
    <w:rsid w:val="653D5C48"/>
    <w:rsid w:val="65537EF9"/>
    <w:rsid w:val="655E1155"/>
    <w:rsid w:val="655F4773"/>
    <w:rsid w:val="65636455"/>
    <w:rsid w:val="657962B9"/>
    <w:rsid w:val="658A6AA3"/>
    <w:rsid w:val="658C5741"/>
    <w:rsid w:val="659E7432"/>
    <w:rsid w:val="65A240BE"/>
    <w:rsid w:val="65A273A9"/>
    <w:rsid w:val="65A924D2"/>
    <w:rsid w:val="65AE5114"/>
    <w:rsid w:val="65AF508F"/>
    <w:rsid w:val="65B61DD9"/>
    <w:rsid w:val="65B66656"/>
    <w:rsid w:val="65BB5075"/>
    <w:rsid w:val="65C0580D"/>
    <w:rsid w:val="65C76D0B"/>
    <w:rsid w:val="65CB5A52"/>
    <w:rsid w:val="65D23BC4"/>
    <w:rsid w:val="65DB59F5"/>
    <w:rsid w:val="65FE41D7"/>
    <w:rsid w:val="66002819"/>
    <w:rsid w:val="660A3036"/>
    <w:rsid w:val="66195DC1"/>
    <w:rsid w:val="661F753F"/>
    <w:rsid w:val="662861DC"/>
    <w:rsid w:val="66286B79"/>
    <w:rsid w:val="66306F43"/>
    <w:rsid w:val="66326E97"/>
    <w:rsid w:val="663933C4"/>
    <w:rsid w:val="663F4723"/>
    <w:rsid w:val="664615E7"/>
    <w:rsid w:val="66513470"/>
    <w:rsid w:val="665265F4"/>
    <w:rsid w:val="66634353"/>
    <w:rsid w:val="66943E18"/>
    <w:rsid w:val="6699652A"/>
    <w:rsid w:val="66A34FF2"/>
    <w:rsid w:val="66A93110"/>
    <w:rsid w:val="66AC664F"/>
    <w:rsid w:val="66AF2B2C"/>
    <w:rsid w:val="66B372BF"/>
    <w:rsid w:val="66B41A4A"/>
    <w:rsid w:val="66C2220F"/>
    <w:rsid w:val="66DB2A60"/>
    <w:rsid w:val="66E60F27"/>
    <w:rsid w:val="66EC68BC"/>
    <w:rsid w:val="66F0190D"/>
    <w:rsid w:val="66FE4406"/>
    <w:rsid w:val="67064E16"/>
    <w:rsid w:val="670B0EC0"/>
    <w:rsid w:val="670F0B32"/>
    <w:rsid w:val="671723BE"/>
    <w:rsid w:val="671B479E"/>
    <w:rsid w:val="672833FF"/>
    <w:rsid w:val="67447CAA"/>
    <w:rsid w:val="67603184"/>
    <w:rsid w:val="676569B0"/>
    <w:rsid w:val="676E53AF"/>
    <w:rsid w:val="67703441"/>
    <w:rsid w:val="6772565E"/>
    <w:rsid w:val="67830DB6"/>
    <w:rsid w:val="678F5EF4"/>
    <w:rsid w:val="67985D75"/>
    <w:rsid w:val="679C72E6"/>
    <w:rsid w:val="679D7D9D"/>
    <w:rsid w:val="67A16316"/>
    <w:rsid w:val="67A42616"/>
    <w:rsid w:val="67AA7DA2"/>
    <w:rsid w:val="67B52945"/>
    <w:rsid w:val="67B84A87"/>
    <w:rsid w:val="67D5396B"/>
    <w:rsid w:val="67DE14F6"/>
    <w:rsid w:val="67E24A58"/>
    <w:rsid w:val="67E76177"/>
    <w:rsid w:val="67E967D4"/>
    <w:rsid w:val="67EA1DE2"/>
    <w:rsid w:val="67F51F5D"/>
    <w:rsid w:val="680C4DB4"/>
    <w:rsid w:val="681C0F9C"/>
    <w:rsid w:val="68280A59"/>
    <w:rsid w:val="685448E5"/>
    <w:rsid w:val="68567ADB"/>
    <w:rsid w:val="685A52F7"/>
    <w:rsid w:val="686007CB"/>
    <w:rsid w:val="686301D2"/>
    <w:rsid w:val="686F32ED"/>
    <w:rsid w:val="68763CFB"/>
    <w:rsid w:val="68775B46"/>
    <w:rsid w:val="689E6C51"/>
    <w:rsid w:val="68AB1911"/>
    <w:rsid w:val="68AC7864"/>
    <w:rsid w:val="68BD141F"/>
    <w:rsid w:val="68C2312F"/>
    <w:rsid w:val="68CC74D0"/>
    <w:rsid w:val="68CD117F"/>
    <w:rsid w:val="68D046DE"/>
    <w:rsid w:val="68DC3B95"/>
    <w:rsid w:val="68DD058C"/>
    <w:rsid w:val="68E777AA"/>
    <w:rsid w:val="68E84B74"/>
    <w:rsid w:val="68EC3C32"/>
    <w:rsid w:val="690300E6"/>
    <w:rsid w:val="691F004A"/>
    <w:rsid w:val="692563EE"/>
    <w:rsid w:val="692D6BB4"/>
    <w:rsid w:val="693530BC"/>
    <w:rsid w:val="69456602"/>
    <w:rsid w:val="69521102"/>
    <w:rsid w:val="69593A40"/>
    <w:rsid w:val="69624FCF"/>
    <w:rsid w:val="6965727E"/>
    <w:rsid w:val="696E1544"/>
    <w:rsid w:val="69781FA1"/>
    <w:rsid w:val="69785369"/>
    <w:rsid w:val="697B19FC"/>
    <w:rsid w:val="69863E30"/>
    <w:rsid w:val="69983D4A"/>
    <w:rsid w:val="69AB32EC"/>
    <w:rsid w:val="69C0232F"/>
    <w:rsid w:val="69C62E9A"/>
    <w:rsid w:val="69D064D5"/>
    <w:rsid w:val="69D9569F"/>
    <w:rsid w:val="69EE4AD9"/>
    <w:rsid w:val="69F076EC"/>
    <w:rsid w:val="69FB056C"/>
    <w:rsid w:val="6A0033E0"/>
    <w:rsid w:val="6A0C4C59"/>
    <w:rsid w:val="6A0C7811"/>
    <w:rsid w:val="6A0D3432"/>
    <w:rsid w:val="6A0E77F1"/>
    <w:rsid w:val="6A151116"/>
    <w:rsid w:val="6A2E7184"/>
    <w:rsid w:val="6A3001E9"/>
    <w:rsid w:val="6A5320C5"/>
    <w:rsid w:val="6A55161C"/>
    <w:rsid w:val="6A65568E"/>
    <w:rsid w:val="6A8213EE"/>
    <w:rsid w:val="6A84734E"/>
    <w:rsid w:val="6A9553FE"/>
    <w:rsid w:val="6A984F72"/>
    <w:rsid w:val="6AB64522"/>
    <w:rsid w:val="6ABF796A"/>
    <w:rsid w:val="6AC13145"/>
    <w:rsid w:val="6AC30E38"/>
    <w:rsid w:val="6ADB66AC"/>
    <w:rsid w:val="6ADD74FD"/>
    <w:rsid w:val="6ADF7409"/>
    <w:rsid w:val="6AE127F5"/>
    <w:rsid w:val="6AE20869"/>
    <w:rsid w:val="6AE3471E"/>
    <w:rsid w:val="6AEA62D3"/>
    <w:rsid w:val="6AEE0C73"/>
    <w:rsid w:val="6AF117EA"/>
    <w:rsid w:val="6B1A4247"/>
    <w:rsid w:val="6B244B56"/>
    <w:rsid w:val="6B275ADB"/>
    <w:rsid w:val="6B3816B9"/>
    <w:rsid w:val="6B570F9E"/>
    <w:rsid w:val="6B704D44"/>
    <w:rsid w:val="6B7A4A17"/>
    <w:rsid w:val="6B7F1BF6"/>
    <w:rsid w:val="6B8F6404"/>
    <w:rsid w:val="6B9512FD"/>
    <w:rsid w:val="6BB554FE"/>
    <w:rsid w:val="6BB87BB7"/>
    <w:rsid w:val="6BC12EDC"/>
    <w:rsid w:val="6BC71DE1"/>
    <w:rsid w:val="6BD55A96"/>
    <w:rsid w:val="6BE02D0B"/>
    <w:rsid w:val="6BE255D8"/>
    <w:rsid w:val="6BE76A97"/>
    <w:rsid w:val="6BF056A3"/>
    <w:rsid w:val="6BF11FF8"/>
    <w:rsid w:val="6BF43FAF"/>
    <w:rsid w:val="6BFB78C8"/>
    <w:rsid w:val="6BFE61C2"/>
    <w:rsid w:val="6BFF40AF"/>
    <w:rsid w:val="6C0309D8"/>
    <w:rsid w:val="6C1363EA"/>
    <w:rsid w:val="6C1D4D6E"/>
    <w:rsid w:val="6C1F175D"/>
    <w:rsid w:val="6C3E480C"/>
    <w:rsid w:val="6C3F65A7"/>
    <w:rsid w:val="6C4A348A"/>
    <w:rsid w:val="6C4A4478"/>
    <w:rsid w:val="6C5002D5"/>
    <w:rsid w:val="6C762E7E"/>
    <w:rsid w:val="6C777224"/>
    <w:rsid w:val="6C83219C"/>
    <w:rsid w:val="6C833B41"/>
    <w:rsid w:val="6C9803A4"/>
    <w:rsid w:val="6CC839C0"/>
    <w:rsid w:val="6CC92C88"/>
    <w:rsid w:val="6CD323B8"/>
    <w:rsid w:val="6CF33107"/>
    <w:rsid w:val="6CF90658"/>
    <w:rsid w:val="6CFC0D94"/>
    <w:rsid w:val="6D147885"/>
    <w:rsid w:val="6D23681A"/>
    <w:rsid w:val="6D243939"/>
    <w:rsid w:val="6D3125B4"/>
    <w:rsid w:val="6D403BCC"/>
    <w:rsid w:val="6D447778"/>
    <w:rsid w:val="6D4A5F2F"/>
    <w:rsid w:val="6D527212"/>
    <w:rsid w:val="6D565D6F"/>
    <w:rsid w:val="6D587140"/>
    <w:rsid w:val="6D620170"/>
    <w:rsid w:val="6D621B82"/>
    <w:rsid w:val="6D696F8E"/>
    <w:rsid w:val="6D777E6B"/>
    <w:rsid w:val="6D84645E"/>
    <w:rsid w:val="6D8807AB"/>
    <w:rsid w:val="6D8F437E"/>
    <w:rsid w:val="6D990245"/>
    <w:rsid w:val="6D997573"/>
    <w:rsid w:val="6DA026C8"/>
    <w:rsid w:val="6DA46B38"/>
    <w:rsid w:val="6DB46943"/>
    <w:rsid w:val="6DC62455"/>
    <w:rsid w:val="6DF1016C"/>
    <w:rsid w:val="6DF8337A"/>
    <w:rsid w:val="6E035FBA"/>
    <w:rsid w:val="6E085A4D"/>
    <w:rsid w:val="6E0F58E1"/>
    <w:rsid w:val="6E12020E"/>
    <w:rsid w:val="6E123F60"/>
    <w:rsid w:val="6E130BF0"/>
    <w:rsid w:val="6E2C4ACE"/>
    <w:rsid w:val="6E4413FF"/>
    <w:rsid w:val="6E4D7D3F"/>
    <w:rsid w:val="6E5231A4"/>
    <w:rsid w:val="6E5A40EE"/>
    <w:rsid w:val="6E671D27"/>
    <w:rsid w:val="6E686BA4"/>
    <w:rsid w:val="6E7D48F4"/>
    <w:rsid w:val="6E906409"/>
    <w:rsid w:val="6E9666FC"/>
    <w:rsid w:val="6E9C16AF"/>
    <w:rsid w:val="6E9D390D"/>
    <w:rsid w:val="6EA1250E"/>
    <w:rsid w:val="6EAC044E"/>
    <w:rsid w:val="6EB70BFC"/>
    <w:rsid w:val="6EBC6825"/>
    <w:rsid w:val="6ECF1E42"/>
    <w:rsid w:val="6EE10B05"/>
    <w:rsid w:val="6EFF1A27"/>
    <w:rsid w:val="6F012EA9"/>
    <w:rsid w:val="6F0472BB"/>
    <w:rsid w:val="6F18644A"/>
    <w:rsid w:val="6F206808"/>
    <w:rsid w:val="6F2C4671"/>
    <w:rsid w:val="6F537CC8"/>
    <w:rsid w:val="6F5632B7"/>
    <w:rsid w:val="6F5B3B07"/>
    <w:rsid w:val="6F6000F3"/>
    <w:rsid w:val="6F630390"/>
    <w:rsid w:val="6F734DE5"/>
    <w:rsid w:val="6F7A7501"/>
    <w:rsid w:val="6F7C0176"/>
    <w:rsid w:val="6F7D152E"/>
    <w:rsid w:val="6FAB7D95"/>
    <w:rsid w:val="6FAD23B4"/>
    <w:rsid w:val="6FAD5E72"/>
    <w:rsid w:val="6FBD7D61"/>
    <w:rsid w:val="6FC42EAB"/>
    <w:rsid w:val="6FD101F3"/>
    <w:rsid w:val="6FDA4BFC"/>
    <w:rsid w:val="6FE54985"/>
    <w:rsid w:val="6FEC7554"/>
    <w:rsid w:val="6FF1283A"/>
    <w:rsid w:val="700B23E9"/>
    <w:rsid w:val="70196ECC"/>
    <w:rsid w:val="704D7FCB"/>
    <w:rsid w:val="704E12D0"/>
    <w:rsid w:val="70563262"/>
    <w:rsid w:val="705873A3"/>
    <w:rsid w:val="707B1DA1"/>
    <w:rsid w:val="709910D5"/>
    <w:rsid w:val="70A84E00"/>
    <w:rsid w:val="70B64B15"/>
    <w:rsid w:val="70CE37DC"/>
    <w:rsid w:val="70D216D3"/>
    <w:rsid w:val="70D958BC"/>
    <w:rsid w:val="70DD65D9"/>
    <w:rsid w:val="70F02592"/>
    <w:rsid w:val="70F83CE8"/>
    <w:rsid w:val="71534AAE"/>
    <w:rsid w:val="716C54B9"/>
    <w:rsid w:val="717A16B9"/>
    <w:rsid w:val="717A7739"/>
    <w:rsid w:val="717C638C"/>
    <w:rsid w:val="718C2ED6"/>
    <w:rsid w:val="719B216D"/>
    <w:rsid w:val="71AE56D4"/>
    <w:rsid w:val="71B047FB"/>
    <w:rsid w:val="71B752EE"/>
    <w:rsid w:val="71C66F16"/>
    <w:rsid w:val="71DB12A7"/>
    <w:rsid w:val="71E619D1"/>
    <w:rsid w:val="72076DCF"/>
    <w:rsid w:val="720C0228"/>
    <w:rsid w:val="72106F1F"/>
    <w:rsid w:val="722B3FA0"/>
    <w:rsid w:val="722D2A5F"/>
    <w:rsid w:val="722D57C7"/>
    <w:rsid w:val="723B3782"/>
    <w:rsid w:val="724062B5"/>
    <w:rsid w:val="72491CAB"/>
    <w:rsid w:val="724A0704"/>
    <w:rsid w:val="724C22FA"/>
    <w:rsid w:val="724F46F0"/>
    <w:rsid w:val="7255143F"/>
    <w:rsid w:val="725F0CB0"/>
    <w:rsid w:val="726436E6"/>
    <w:rsid w:val="72700C83"/>
    <w:rsid w:val="727E3D2D"/>
    <w:rsid w:val="727E6483"/>
    <w:rsid w:val="728124EA"/>
    <w:rsid w:val="728453D5"/>
    <w:rsid w:val="728B087B"/>
    <w:rsid w:val="72935827"/>
    <w:rsid w:val="729B79DD"/>
    <w:rsid w:val="729D6597"/>
    <w:rsid w:val="72A14F9D"/>
    <w:rsid w:val="72AA36AE"/>
    <w:rsid w:val="72BB1BA7"/>
    <w:rsid w:val="72D051AC"/>
    <w:rsid w:val="72D05F60"/>
    <w:rsid w:val="72ED426C"/>
    <w:rsid w:val="72F16021"/>
    <w:rsid w:val="72F91A90"/>
    <w:rsid w:val="731C314C"/>
    <w:rsid w:val="73221787"/>
    <w:rsid w:val="732927A3"/>
    <w:rsid w:val="733527D5"/>
    <w:rsid w:val="734333B2"/>
    <w:rsid w:val="73826B32"/>
    <w:rsid w:val="73A34F4F"/>
    <w:rsid w:val="73B02110"/>
    <w:rsid w:val="73C70602"/>
    <w:rsid w:val="73CB40BF"/>
    <w:rsid w:val="73CE0E30"/>
    <w:rsid w:val="73CE218C"/>
    <w:rsid w:val="73E133AB"/>
    <w:rsid w:val="73F95D4E"/>
    <w:rsid w:val="74044161"/>
    <w:rsid w:val="740A0CEC"/>
    <w:rsid w:val="74194164"/>
    <w:rsid w:val="74196D88"/>
    <w:rsid w:val="741C0ACA"/>
    <w:rsid w:val="742D6B25"/>
    <w:rsid w:val="74312094"/>
    <w:rsid w:val="74344471"/>
    <w:rsid w:val="74357542"/>
    <w:rsid w:val="743708F7"/>
    <w:rsid w:val="744446C4"/>
    <w:rsid w:val="74524A6C"/>
    <w:rsid w:val="745C6B72"/>
    <w:rsid w:val="745D46B6"/>
    <w:rsid w:val="745D5E4D"/>
    <w:rsid w:val="745F6D5D"/>
    <w:rsid w:val="747D4D81"/>
    <w:rsid w:val="747E2170"/>
    <w:rsid w:val="74852FD5"/>
    <w:rsid w:val="74873133"/>
    <w:rsid w:val="74951F55"/>
    <w:rsid w:val="74994FF2"/>
    <w:rsid w:val="74A33469"/>
    <w:rsid w:val="74A93ADB"/>
    <w:rsid w:val="74AB764B"/>
    <w:rsid w:val="74B54B4A"/>
    <w:rsid w:val="74B83DBC"/>
    <w:rsid w:val="74BA0C6B"/>
    <w:rsid w:val="74BB501E"/>
    <w:rsid w:val="74C62534"/>
    <w:rsid w:val="74DB6E46"/>
    <w:rsid w:val="74EE31EA"/>
    <w:rsid w:val="74F227D5"/>
    <w:rsid w:val="74F479DA"/>
    <w:rsid w:val="74FA2880"/>
    <w:rsid w:val="750E421E"/>
    <w:rsid w:val="75100B8F"/>
    <w:rsid w:val="75180EA9"/>
    <w:rsid w:val="75225CBF"/>
    <w:rsid w:val="75350693"/>
    <w:rsid w:val="75372EB1"/>
    <w:rsid w:val="75460C0C"/>
    <w:rsid w:val="7546677D"/>
    <w:rsid w:val="754B2AC0"/>
    <w:rsid w:val="754D466C"/>
    <w:rsid w:val="754F4CC4"/>
    <w:rsid w:val="756E0B0A"/>
    <w:rsid w:val="756E1FF6"/>
    <w:rsid w:val="757031D9"/>
    <w:rsid w:val="757840E4"/>
    <w:rsid w:val="758075D4"/>
    <w:rsid w:val="75814167"/>
    <w:rsid w:val="75842DFC"/>
    <w:rsid w:val="75844CB2"/>
    <w:rsid w:val="75907C96"/>
    <w:rsid w:val="75A667A1"/>
    <w:rsid w:val="75B545AA"/>
    <w:rsid w:val="75B9416A"/>
    <w:rsid w:val="75BE0722"/>
    <w:rsid w:val="75C247F2"/>
    <w:rsid w:val="75CB7223"/>
    <w:rsid w:val="75CD7BB5"/>
    <w:rsid w:val="75D83866"/>
    <w:rsid w:val="75DB5451"/>
    <w:rsid w:val="75E37678"/>
    <w:rsid w:val="75E9665D"/>
    <w:rsid w:val="75F87197"/>
    <w:rsid w:val="76015597"/>
    <w:rsid w:val="760E5F05"/>
    <w:rsid w:val="762E28FD"/>
    <w:rsid w:val="7637387F"/>
    <w:rsid w:val="76437D02"/>
    <w:rsid w:val="765120A6"/>
    <w:rsid w:val="765500F3"/>
    <w:rsid w:val="76634AEC"/>
    <w:rsid w:val="76724739"/>
    <w:rsid w:val="767F05D4"/>
    <w:rsid w:val="76894CC3"/>
    <w:rsid w:val="76905212"/>
    <w:rsid w:val="76B72ED4"/>
    <w:rsid w:val="76BA05D5"/>
    <w:rsid w:val="76BC3479"/>
    <w:rsid w:val="76BF7D3D"/>
    <w:rsid w:val="76C52AEB"/>
    <w:rsid w:val="76D264D4"/>
    <w:rsid w:val="76D917F6"/>
    <w:rsid w:val="76E955C3"/>
    <w:rsid w:val="76FD43AC"/>
    <w:rsid w:val="770706D4"/>
    <w:rsid w:val="77123ACC"/>
    <w:rsid w:val="77225399"/>
    <w:rsid w:val="77247924"/>
    <w:rsid w:val="772B1B20"/>
    <w:rsid w:val="77510935"/>
    <w:rsid w:val="77634F3B"/>
    <w:rsid w:val="77667A81"/>
    <w:rsid w:val="77693CA4"/>
    <w:rsid w:val="77712302"/>
    <w:rsid w:val="77723B16"/>
    <w:rsid w:val="777A6B28"/>
    <w:rsid w:val="77821A9D"/>
    <w:rsid w:val="77910638"/>
    <w:rsid w:val="77BF3850"/>
    <w:rsid w:val="77CE14EF"/>
    <w:rsid w:val="77D36332"/>
    <w:rsid w:val="77D62A56"/>
    <w:rsid w:val="77E02F26"/>
    <w:rsid w:val="77E62733"/>
    <w:rsid w:val="77EA060C"/>
    <w:rsid w:val="77F273D8"/>
    <w:rsid w:val="77F84B71"/>
    <w:rsid w:val="780E1955"/>
    <w:rsid w:val="78293DC3"/>
    <w:rsid w:val="782D2D9B"/>
    <w:rsid w:val="782F143B"/>
    <w:rsid w:val="782F7B31"/>
    <w:rsid w:val="78380568"/>
    <w:rsid w:val="783A6B2F"/>
    <w:rsid w:val="783F4F70"/>
    <w:rsid w:val="785B4C20"/>
    <w:rsid w:val="785D218D"/>
    <w:rsid w:val="78630991"/>
    <w:rsid w:val="78912980"/>
    <w:rsid w:val="789240F1"/>
    <w:rsid w:val="7893195B"/>
    <w:rsid w:val="78965720"/>
    <w:rsid w:val="78AB4E34"/>
    <w:rsid w:val="78B26191"/>
    <w:rsid w:val="78B8567C"/>
    <w:rsid w:val="78D62FC2"/>
    <w:rsid w:val="78E8667F"/>
    <w:rsid w:val="78EF493B"/>
    <w:rsid w:val="78F7615B"/>
    <w:rsid w:val="78FD2962"/>
    <w:rsid w:val="7907155B"/>
    <w:rsid w:val="79113FAC"/>
    <w:rsid w:val="79187B3A"/>
    <w:rsid w:val="792063BD"/>
    <w:rsid w:val="792924D9"/>
    <w:rsid w:val="79307089"/>
    <w:rsid w:val="79373219"/>
    <w:rsid w:val="79432895"/>
    <w:rsid w:val="79450F83"/>
    <w:rsid w:val="794625CC"/>
    <w:rsid w:val="794A4288"/>
    <w:rsid w:val="794C7980"/>
    <w:rsid w:val="7954036F"/>
    <w:rsid w:val="7963139E"/>
    <w:rsid w:val="798B23A6"/>
    <w:rsid w:val="79934622"/>
    <w:rsid w:val="7996486B"/>
    <w:rsid w:val="799C5748"/>
    <w:rsid w:val="79A10018"/>
    <w:rsid w:val="79A86542"/>
    <w:rsid w:val="79AA6729"/>
    <w:rsid w:val="79AF7ABE"/>
    <w:rsid w:val="79B563F5"/>
    <w:rsid w:val="79BD180A"/>
    <w:rsid w:val="79BE5E62"/>
    <w:rsid w:val="79CD5799"/>
    <w:rsid w:val="79D00261"/>
    <w:rsid w:val="79D72059"/>
    <w:rsid w:val="79D917F7"/>
    <w:rsid w:val="79E92F86"/>
    <w:rsid w:val="79EC33C3"/>
    <w:rsid w:val="79EC4C14"/>
    <w:rsid w:val="7A080CC3"/>
    <w:rsid w:val="7A1C1793"/>
    <w:rsid w:val="7A1C4DC7"/>
    <w:rsid w:val="7A230A62"/>
    <w:rsid w:val="7A3A078E"/>
    <w:rsid w:val="7A45124E"/>
    <w:rsid w:val="7A4C7BCA"/>
    <w:rsid w:val="7A7F307F"/>
    <w:rsid w:val="7A850292"/>
    <w:rsid w:val="7A864059"/>
    <w:rsid w:val="7A991285"/>
    <w:rsid w:val="7AA26CC1"/>
    <w:rsid w:val="7AA36941"/>
    <w:rsid w:val="7AAC03BC"/>
    <w:rsid w:val="7AB2157C"/>
    <w:rsid w:val="7AB5655C"/>
    <w:rsid w:val="7AC179AB"/>
    <w:rsid w:val="7AC528C4"/>
    <w:rsid w:val="7ACE4545"/>
    <w:rsid w:val="7AD631B4"/>
    <w:rsid w:val="7AE80992"/>
    <w:rsid w:val="7AE9752E"/>
    <w:rsid w:val="7AEC1055"/>
    <w:rsid w:val="7AF51135"/>
    <w:rsid w:val="7AFE078F"/>
    <w:rsid w:val="7B0320BB"/>
    <w:rsid w:val="7B0E4101"/>
    <w:rsid w:val="7B192CA1"/>
    <w:rsid w:val="7B1E43DB"/>
    <w:rsid w:val="7B1E76B6"/>
    <w:rsid w:val="7B3D12FD"/>
    <w:rsid w:val="7B5204F9"/>
    <w:rsid w:val="7B5C6AF3"/>
    <w:rsid w:val="7B623397"/>
    <w:rsid w:val="7B6E3852"/>
    <w:rsid w:val="7B6E5110"/>
    <w:rsid w:val="7B745405"/>
    <w:rsid w:val="7B746FD3"/>
    <w:rsid w:val="7BAD2677"/>
    <w:rsid w:val="7BC25E02"/>
    <w:rsid w:val="7BC8745E"/>
    <w:rsid w:val="7BCD7043"/>
    <w:rsid w:val="7BDA2B39"/>
    <w:rsid w:val="7BFD2FC3"/>
    <w:rsid w:val="7C222636"/>
    <w:rsid w:val="7C274E7E"/>
    <w:rsid w:val="7C280E42"/>
    <w:rsid w:val="7C2E19A1"/>
    <w:rsid w:val="7C4E2200"/>
    <w:rsid w:val="7C5B0211"/>
    <w:rsid w:val="7C5E225A"/>
    <w:rsid w:val="7C716D5B"/>
    <w:rsid w:val="7C7F4F3C"/>
    <w:rsid w:val="7C9C55B4"/>
    <w:rsid w:val="7CA4190A"/>
    <w:rsid w:val="7CA544A2"/>
    <w:rsid w:val="7CB347D7"/>
    <w:rsid w:val="7CB55428"/>
    <w:rsid w:val="7CCD67D7"/>
    <w:rsid w:val="7CE21673"/>
    <w:rsid w:val="7CE2570E"/>
    <w:rsid w:val="7CE57DCB"/>
    <w:rsid w:val="7CEE13C1"/>
    <w:rsid w:val="7CF45745"/>
    <w:rsid w:val="7CFC5143"/>
    <w:rsid w:val="7D0351A7"/>
    <w:rsid w:val="7D0970B0"/>
    <w:rsid w:val="7D1665FE"/>
    <w:rsid w:val="7D314B29"/>
    <w:rsid w:val="7D341826"/>
    <w:rsid w:val="7D3C4DB4"/>
    <w:rsid w:val="7D4033FD"/>
    <w:rsid w:val="7D453655"/>
    <w:rsid w:val="7D4633F9"/>
    <w:rsid w:val="7D4D5856"/>
    <w:rsid w:val="7D512D27"/>
    <w:rsid w:val="7D537A55"/>
    <w:rsid w:val="7D6B18A4"/>
    <w:rsid w:val="7D6B5F3A"/>
    <w:rsid w:val="7D6F1533"/>
    <w:rsid w:val="7D71105E"/>
    <w:rsid w:val="7D737A9C"/>
    <w:rsid w:val="7D99311C"/>
    <w:rsid w:val="7DA0771C"/>
    <w:rsid w:val="7DAA16F6"/>
    <w:rsid w:val="7DE14EF9"/>
    <w:rsid w:val="7DF16A19"/>
    <w:rsid w:val="7E183EEA"/>
    <w:rsid w:val="7E194EBD"/>
    <w:rsid w:val="7E22507B"/>
    <w:rsid w:val="7E440B2B"/>
    <w:rsid w:val="7E4A22B2"/>
    <w:rsid w:val="7E4D6442"/>
    <w:rsid w:val="7E4E7747"/>
    <w:rsid w:val="7E4F61B6"/>
    <w:rsid w:val="7E664DEE"/>
    <w:rsid w:val="7E6752B6"/>
    <w:rsid w:val="7E717A7B"/>
    <w:rsid w:val="7E80292D"/>
    <w:rsid w:val="7E820E9B"/>
    <w:rsid w:val="7E84382C"/>
    <w:rsid w:val="7E855AE7"/>
    <w:rsid w:val="7E9D718F"/>
    <w:rsid w:val="7EA7411B"/>
    <w:rsid w:val="7EA874D5"/>
    <w:rsid w:val="7EAA0221"/>
    <w:rsid w:val="7EAD2FE4"/>
    <w:rsid w:val="7EAF64E7"/>
    <w:rsid w:val="7EB02A3C"/>
    <w:rsid w:val="7EB714C1"/>
    <w:rsid w:val="7EC915F7"/>
    <w:rsid w:val="7ECA128F"/>
    <w:rsid w:val="7ECE1934"/>
    <w:rsid w:val="7ED326C7"/>
    <w:rsid w:val="7EEE010D"/>
    <w:rsid w:val="7F0A6F2E"/>
    <w:rsid w:val="7F21551C"/>
    <w:rsid w:val="7F251450"/>
    <w:rsid w:val="7F381A47"/>
    <w:rsid w:val="7F3932D6"/>
    <w:rsid w:val="7F3B3199"/>
    <w:rsid w:val="7F3D07F6"/>
    <w:rsid w:val="7F4D23DA"/>
    <w:rsid w:val="7F613C7E"/>
    <w:rsid w:val="7F7D7E39"/>
    <w:rsid w:val="7F805401"/>
    <w:rsid w:val="7F827F3A"/>
    <w:rsid w:val="7F8A5E4A"/>
    <w:rsid w:val="7F912BF1"/>
    <w:rsid w:val="7F921785"/>
    <w:rsid w:val="7F9E1932"/>
    <w:rsid w:val="7FA4150B"/>
    <w:rsid w:val="7FA61A8E"/>
    <w:rsid w:val="7FAB71DB"/>
    <w:rsid w:val="7FCA6AE1"/>
    <w:rsid w:val="7FCC65E5"/>
    <w:rsid w:val="7FED79B9"/>
    <w:rsid w:val="7FF02E2B"/>
    <w:rsid w:val="7FF326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algun Gothic" w:hAnsi="Malgun Gothic" w:eastAsia="Malgun Gothic" w:cs="Malgun Gothic"/>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Malgun Gothic" w:hAnsi="Malgun Gothic" w:eastAsia="Malgun Gothic" w:cs="Malgun Gothic"/>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批注框文本 字符"/>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列出段落 字符"/>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spacing w:after="0"/>
      <w:ind w:left="567" w:hanging="283"/>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2">
    <w:name w:val="列出段落 字符1"/>
    <w:basedOn w:val="31"/>
    <w:link w:val="83"/>
    <w:qFormat/>
    <w:uiPriority w:val="0"/>
    <w:rPr>
      <w:rFonts w:hint="default" w:ascii="Times" w:hAnsi="Times" w:eastAsia="Batang" w:cs="Times"/>
      <w:szCs w:val="24"/>
      <w:lang w:val="en-US"/>
    </w:rPr>
  </w:style>
  <w:style w:type="paragraph" w:customStyle="1" w:styleId="83">
    <w:name w:val="列出段落"/>
    <w:basedOn w:val="1"/>
    <w:link w:val="82"/>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paragraph" w:customStyle="1" w:styleId="84">
    <w:name w:val="列出段落1"/>
    <w:basedOn w:val="1"/>
    <w:qFormat/>
    <w:uiPriority w:val="0"/>
    <w:pPr>
      <w:keepNext w:val="0"/>
      <w:keepLines w:val="0"/>
      <w:widowControl/>
      <w:suppressLineNumbers w:val="0"/>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1B453-9EFC-4178-8980-6A03B4AA443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3825</Words>
  <Characters>21806</Characters>
  <Lines>181</Lines>
  <Paragraphs>51</Paragraphs>
  <TotalTime>0</TotalTime>
  <ScaleCrop>false</ScaleCrop>
  <LinksUpToDate>false</LinksUpToDate>
  <CharactersWithSpaces>25580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2024-11-08T09:05:18Z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812DE726C6C9497F8500A1066B02F610</vt:lpwstr>
  </property>
</Properties>
</file>